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0296" w14:textId="77777777" w:rsidR="005C651A" w:rsidRDefault="005C651A" w:rsidP="005C651A">
      <w:r>
        <w:rPr>
          <w:noProof/>
        </w:rPr>
        <w:drawing>
          <wp:anchor distT="0" distB="0" distL="114300" distR="114300" simplePos="0" relativeHeight="251659264" behindDoc="0" locked="0" layoutInCell="1" allowOverlap="1" wp14:anchorId="13821EDD" wp14:editId="2B0EF4FD">
            <wp:simplePos x="0" y="0"/>
            <wp:positionH relativeFrom="margin">
              <wp:posOffset>4263355</wp:posOffset>
            </wp:positionH>
            <wp:positionV relativeFrom="margin">
              <wp:posOffset>67108</wp:posOffset>
            </wp:positionV>
            <wp:extent cx="1670050" cy="1181100"/>
            <wp:effectExtent l="0" t="0" r="0" b="0"/>
            <wp:wrapSquare wrapText="bothSides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511A1" w14:textId="6133AD59" w:rsidR="005C651A" w:rsidRPr="00AC3866" w:rsidRDefault="005C651A" w:rsidP="005C651A">
      <w:pPr>
        <w:pStyle w:val="Retraitcorpsdetexte"/>
        <w:tabs>
          <w:tab w:val="left" w:pos="-4617"/>
          <w:tab w:val="left" w:pos="-3990"/>
        </w:tabs>
        <w:ind w:left="0"/>
        <w:jc w:val="right"/>
        <w:rPr>
          <w:rFonts w:ascii="Calibri" w:hAnsi="Calibri" w:cs="Calibri"/>
          <w:b/>
          <w:smallCaps/>
          <w:szCs w:val="22"/>
          <w:u w:val="single"/>
        </w:rPr>
      </w:pPr>
    </w:p>
    <w:p w14:paraId="477114F9" w14:textId="3C10361B" w:rsidR="005C651A" w:rsidRDefault="00570C16" w:rsidP="005C651A">
      <w:pPr>
        <w:pStyle w:val="Sansinterligne"/>
        <w:rPr>
          <w:rFonts w:ascii="Open Sans" w:hAnsi="Open Sans" w:cs="Open Sans"/>
          <w:b/>
          <w:bCs/>
          <w:color w:val="AA0B30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b/>
          <w:smallCaps/>
          <w:noProof/>
          <w:szCs w:val="22"/>
          <w:u w:val="single"/>
        </w:rPr>
        <w:drawing>
          <wp:inline distT="0" distB="0" distL="0" distR="0" wp14:anchorId="54F88140" wp14:editId="5C834D1D">
            <wp:extent cx="906517" cy="906517"/>
            <wp:effectExtent l="0" t="0" r="0" b="0"/>
            <wp:docPr id="9" name="Imag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23" cy="91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3287" w14:textId="2A6515CE" w:rsidR="00BF7671" w:rsidRDefault="00570C16" w:rsidP="00570C16">
      <w:pPr>
        <w:pStyle w:val="Sansinterligne"/>
        <w:bidi/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Simplified Arabic" w:hAnsi="Simplified Arabic" w:cs="Simplified Arabic" w:hint="cs"/>
          <w:b/>
          <w:bCs/>
          <w:color w:val="AA0B30"/>
          <w:szCs w:val="24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خبر صح</w:t>
      </w:r>
      <w:r w:rsidR="00712492">
        <w:rPr>
          <w:rFonts w:ascii="Simplified Arabic" w:hAnsi="Simplified Arabic" w:cs="Simplified Arabic" w:hint="cs"/>
          <w:b/>
          <w:bCs/>
          <w:color w:val="AA0B30"/>
          <w:szCs w:val="24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ا</w:t>
      </w:r>
      <w:r>
        <w:rPr>
          <w:rFonts w:ascii="Simplified Arabic" w:hAnsi="Simplified Arabic" w:cs="Simplified Arabic" w:hint="cs"/>
          <w:b/>
          <w:bCs/>
          <w:color w:val="AA0B30"/>
          <w:szCs w:val="24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="005C651A"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14:paraId="623D836C" w14:textId="77777777" w:rsidR="00BF7671" w:rsidRDefault="00BF7671" w:rsidP="005C651A">
      <w:pPr>
        <w:pStyle w:val="Sansinterligne"/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A630F8B" w14:textId="0302488F" w:rsidR="005C651A" w:rsidRPr="00750C88" w:rsidRDefault="00570C16" w:rsidP="00570C16">
      <w:pPr>
        <w:pStyle w:val="Sansinterligne"/>
        <w:bidi/>
        <w:rPr>
          <w:rFonts w:ascii="Open Sans" w:hAnsi="Open Sans" w:cs="Open Sans"/>
          <w:b/>
          <w:bCs/>
          <w:color w:val="AA0B30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break-words"/>
          <w:rFonts w:ascii="Simplified Arabic" w:hAnsi="Simplified Arabic" w:cs="Simplified Arabic" w:hint="cs"/>
          <w:b/>
          <w:bCs/>
          <w:szCs w:val="24"/>
          <w:rtl/>
          <w:lang w:bidi="ar-LB"/>
        </w:rPr>
        <w:t xml:space="preserve">"عمل الشرق" والوكالة الجامعية للفرنكوفونية </w:t>
      </w:r>
      <w:r w:rsidR="00FA5FD9">
        <w:rPr>
          <w:rStyle w:val="break-words"/>
          <w:rFonts w:ascii="Simplified Arabic" w:hAnsi="Simplified Arabic" w:cs="Simplified Arabic" w:hint="cs"/>
          <w:b/>
          <w:bCs/>
          <w:szCs w:val="24"/>
          <w:rtl/>
          <w:lang w:bidi="ar-LB"/>
        </w:rPr>
        <w:t>تدعمان</w:t>
      </w:r>
      <w:r>
        <w:rPr>
          <w:rStyle w:val="break-words"/>
          <w:rFonts w:ascii="Simplified Arabic" w:hAnsi="Simplified Arabic" w:cs="Simplified Arabic" w:hint="cs"/>
          <w:b/>
          <w:bCs/>
          <w:szCs w:val="24"/>
          <w:rtl/>
          <w:lang w:bidi="ar-LB"/>
        </w:rPr>
        <w:t xml:space="preserve"> الجامعات الكاثوليكية الست في لبنان </w:t>
      </w:r>
    </w:p>
    <w:p w14:paraId="6F3CD870" w14:textId="1412BA68" w:rsidR="005C651A" w:rsidRPr="007B6A40" w:rsidRDefault="005C651A" w:rsidP="005C651A">
      <w:pPr>
        <w:spacing w:after="120"/>
        <w:jc w:val="both"/>
        <w:rPr>
          <w:rFonts w:ascii="Open Sans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rtl/>
        </w:rPr>
      </w:pPr>
    </w:p>
    <w:p w14:paraId="0658C80F" w14:textId="5EFA8869" w:rsidR="00570C16" w:rsidRDefault="00570C16" w:rsidP="00570C16">
      <w:pPr>
        <w:bidi/>
        <w:spacing w:after="120"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في إطار </w:t>
      </w:r>
      <w:r w:rsidR="002B0FC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خطة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الوكالة الجامعية للفرنكوفونية من جهة </w:t>
      </w:r>
      <w:r w:rsidR="001060D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لدعم الجامعات اللبنانية في سياق الأزمة الاقتصادية التي يتخبّط فيها لبنان، وجمعية "عمل الشرق" من جهة أخرى ل</w:t>
      </w:r>
      <w:r w:rsidR="007B6A4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مساعدة</w:t>
      </w:r>
      <w:r w:rsidR="001060D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المؤسّسات التربوية المسيحية في البلاد، </w:t>
      </w:r>
      <w:r w:rsidR="0062719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تتعاون</w:t>
      </w:r>
      <w:r w:rsidR="001060D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5A5001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الجهتان</w:t>
      </w:r>
      <w:r w:rsidR="001060D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ل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توفير </w:t>
      </w:r>
      <w:r w:rsidR="00D56DC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دعم </w:t>
      </w:r>
      <w:r w:rsidR="002B713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ل</w:t>
      </w:r>
      <w:r w:rsidR="00182A87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لجامعات الكاثوليكية الست في لبنان وجميعها أعضاء في الوكالة الجامعية للفرنكوفونية، ألا وهي: جامعة سيدة اللويزة، الجامعة </w:t>
      </w:r>
      <w:proofErr w:type="spellStart"/>
      <w:r w:rsidR="00182A87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الأنطونية</w:t>
      </w:r>
      <w:proofErr w:type="spellEnd"/>
      <w:r w:rsidR="00182A87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، جامعة الحكمة، جامعة الروح القدس- الكسليك، جامعة العائلة المقدّسة وجامعة القديس يوسف في بيروت.</w:t>
      </w:r>
      <w:r w:rsidR="001060D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</w:p>
    <w:p w14:paraId="325C2822" w14:textId="46107BF7" w:rsidR="00D400CF" w:rsidRDefault="00AF6210" w:rsidP="00D400CF">
      <w:pPr>
        <w:bidi/>
        <w:spacing w:after="120"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وقد </w:t>
      </w:r>
      <w:r w:rsidR="00D400CF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أرست الجهتان الشريكتان آليةً استثنائية لدعم </w:t>
      </w:r>
      <w:r w:rsidR="002B713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هذه </w:t>
      </w:r>
      <w:r w:rsidR="00D400CF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الجامعات من خلال الأموال التي 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عبّأتها</w:t>
      </w:r>
      <w:r w:rsidR="00D400CF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جمعية "عمل الشرق" والتي ستسمح للجامعات الست المستفيدة بالحصول على منحة بهدف دعم موظّفي الملاك </w:t>
      </w:r>
      <w:r w:rsidR="00BE5D8A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فيها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. </w:t>
      </w:r>
      <w:r w:rsidR="00BE5D8A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وتجدر الإشارة الى ان</w:t>
      </w:r>
      <w:r w:rsidR="00E23B6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هذه المساعدة مخصّصة حصراً لتغطية رواتب موظّفي الملاك في هذه المؤسّسات </w:t>
      </w:r>
      <w:r w:rsidR="00E23B6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الذين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تأثّروا بشدّة بفعل الأزمة</w:t>
      </w:r>
      <w:r w:rsidR="005B602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،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وذلك على شكل علاوة تدفع</w:t>
      </w:r>
      <w:r w:rsidR="00E23B6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كملحق استثنائي للراتب.</w:t>
      </w:r>
      <w:r w:rsidR="00921A7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 </w:t>
      </w:r>
    </w:p>
    <w:p w14:paraId="6F62BD85" w14:textId="6D6477FF" w:rsidR="005C651A" w:rsidRPr="003C00EC" w:rsidRDefault="00E23B69" w:rsidP="003C00EC">
      <w:pPr>
        <w:bidi/>
        <w:spacing w:after="120"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تتشاطر الجهتان الشريكتان رؤيا واحدة تندرج هذه العملية</w:t>
      </w:r>
      <w:r w:rsidR="00A31FC6" w:rsidRPr="00A31FC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A31FC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ضمنها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: فقد </w:t>
      </w:r>
      <w:r w:rsidR="00A93E1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أسّس لبنان فردانيته التاريخية والثقافية في الشرق الأوسط </w:t>
      </w:r>
      <w:r w:rsidR="00D669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مستندا </w:t>
      </w:r>
      <w:r w:rsidR="0013372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بدر</w:t>
      </w:r>
      <w:r w:rsidR="00E92B5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ج</w:t>
      </w:r>
      <w:r w:rsidR="0013372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ة كبيرة </w:t>
      </w:r>
      <w:r w:rsidR="00A93E1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على جودة القطاع التربوي والجامعي الذي يواجه </w:t>
      </w:r>
      <w:r w:rsidR="008A74E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صعوبات</w:t>
      </w:r>
      <w:r w:rsidR="00A93E1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جمّة في الوقت الحالي، وأصبح من الضروري الحفاظ على الإمكانات الجامعية والعلمية </w:t>
      </w:r>
      <w:r w:rsidR="00A31FC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المتوفّرة </w:t>
      </w:r>
      <w:r w:rsidR="00A93E1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في لبنان وهي أساسية لمستقبل البلاد والشباب، </w:t>
      </w:r>
      <w:r w:rsidR="008A74E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وللقدرة</w:t>
      </w:r>
      <w:r w:rsidR="00A93E1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على إنتاج المهارات والمؤه</w:t>
      </w:r>
      <w:r w:rsidR="003C00E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ّ</w:t>
      </w:r>
      <w:r w:rsidR="00A93E1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لات الاجتماعية والمهنية الضرورية لمرحلة ال</w:t>
      </w:r>
      <w:r w:rsidR="009F257A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نهوض</w:t>
      </w:r>
      <w:r w:rsidR="00A93E10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. </w:t>
      </w:r>
    </w:p>
    <w:p w14:paraId="7F0B1475" w14:textId="6AC8F427" w:rsidR="005C651A" w:rsidRPr="004A0CD9" w:rsidRDefault="005C651A" w:rsidP="00E11F33">
      <w:pPr>
        <w:bidi/>
        <w:ind w:left="7080"/>
        <w:rPr>
          <w:rFonts w:ascii="Open Sans" w:eastAsia="DejaVu Sans" w:hAnsi="Open Sans" w:cs="Open Sans"/>
        </w:rPr>
      </w:pPr>
    </w:p>
    <w:p w14:paraId="5BA2C522" w14:textId="3054508C" w:rsidR="001A608C" w:rsidRDefault="003C00EC" w:rsidP="00457332">
      <w:pPr>
        <w:bidi/>
        <w:ind w:left="708"/>
        <w:jc w:val="both"/>
        <w:rPr>
          <w:rFonts w:ascii="Simplified Arabic" w:hAnsi="Simplified Arabic" w:cs="Simplified Arabic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</w:pPr>
      <w:r w:rsidRPr="00AF286A">
        <w:rPr>
          <w:rFonts w:ascii="Open Sans" w:hAnsi="Open Sans" w:cs="Open Sans"/>
          <w:noProof/>
          <w:color w:val="C00000"/>
          <w:sz w:val="18"/>
          <w:szCs w:val="18"/>
          <w:lang w:val="fr-M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28369" wp14:editId="77807193">
                <wp:simplePos x="0" y="0"/>
                <wp:positionH relativeFrom="column">
                  <wp:posOffset>5512212</wp:posOffset>
                </wp:positionH>
                <wp:positionV relativeFrom="paragraph">
                  <wp:posOffset>39370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7BEF" id="Rectangle 10" o:spid="_x0000_s1026" style="position:absolute;margin-left:434.05pt;margin-top:3.1pt;width:26.45pt;height:5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" fillcolor="#aa0b30" strokecolor="#aa0b30" strokeweight="1pt"/>
            </w:pict>
          </mc:Fallback>
        </mc:AlternateContent>
      </w:r>
      <w:r w:rsidR="005C651A" w:rsidRPr="00894548">
        <w:rPr>
          <w:rFonts w:ascii="Open Sans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/>
        </w:rPr>
        <w:t xml:space="preserve"> </w:t>
      </w:r>
      <w:r w:rsidR="00304B5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أنش</w:t>
      </w:r>
      <w:r w:rsidR="0045733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ِ</w:t>
      </w:r>
      <w:r w:rsidR="00304B5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ئت </w:t>
      </w:r>
      <w:r w:rsidR="00304B52" w:rsidRPr="00E011B6">
        <w:rPr>
          <w:rFonts w:ascii="Simplified Arabic" w:hAnsi="Simplified Arabic" w:cs="Simplified Arabic" w:hint="cs"/>
          <w:color w:val="FF0000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الوكالة الجامعية للفرنكوفونية </w:t>
      </w:r>
      <w:r w:rsidR="00304B5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قبل 60 عاماً وأصبحت اليوم</w:t>
      </w:r>
      <w:r w:rsidR="00B0631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 أو</w:t>
      </w:r>
      <w:r w:rsidR="0045733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ّ</w:t>
      </w:r>
      <w:r w:rsidR="00B0631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ل شبكة جامعية في العالم حيث تضمّ أكثر من 1000 عضو من جامعات ومدارس </w:t>
      </w:r>
      <w:r w:rsidR="0045733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ل</w:t>
      </w:r>
      <w:r w:rsidR="00B0631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لتعليم العالي ومراكز بحث في 120 بلداً تقريباً. تظهر الوكالة الجامعية للفرنكوفونية</w:t>
      </w:r>
      <w:r w:rsidR="00CF2836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 وهي منظّمة لا تتوخّى الربح</w:t>
      </w:r>
      <w:r w:rsidR="00B0631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CF2836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تألّق الفرنكوفونية العلمية في شتى أنحاء العالم وهي علامة تحمل رؤيا لتطوير الأنظمة التربوية والجامعية بشكل أفضل: "تصميم الفرنكوفونية العلمية عالمياً والتحرّك إقليمياً مع احترام التنوّع"</w:t>
      </w:r>
      <w:r w:rsidR="009A04D5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>.</w:t>
      </w:r>
    </w:p>
    <w:p w14:paraId="10DA765F" w14:textId="27FBCB4B" w:rsidR="0077581D" w:rsidRDefault="0077581D" w:rsidP="0077581D">
      <w:pPr>
        <w:bidi/>
        <w:ind w:left="708"/>
        <w:jc w:val="both"/>
        <w:rPr>
          <w:rFonts w:ascii="Simplified Arabic" w:hAnsi="Simplified Arabic" w:cs="Simplified Arabic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</w:pPr>
    </w:p>
    <w:p w14:paraId="01B2B93E" w14:textId="2A2380DB" w:rsidR="0077581D" w:rsidRDefault="0077581D" w:rsidP="0077581D">
      <w:pPr>
        <w:bidi/>
        <w:ind w:left="708"/>
        <w:jc w:val="both"/>
        <w:rPr>
          <w:rFonts w:ascii="Open Sans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/>
        </w:rPr>
      </w:pPr>
      <w:r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تعمل </w:t>
      </w:r>
      <w:r>
        <w:rPr>
          <w:rFonts w:ascii="Simplified Arabic" w:hAnsi="Simplified Arabic" w:cs="Simplified Arabic" w:hint="cs"/>
          <w:color w:val="FF0000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جمعية "عمل الشرق" </w:t>
      </w:r>
      <w:r w:rsidR="000627F2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منذ أكثر من 160 عاماً إلى جانب المسيحيين في الشرق في 23 بلداً في الشرق الأوسط، في القرن الأفريقي، في أوروبا الشرقية وفي الهند. </w:t>
      </w:r>
      <w:r w:rsidR="00443851">
        <w:rPr>
          <w:rFonts w:ascii="Simplified Arabic" w:hAnsi="Simplified Arabic" w:cs="Simplified Arabic" w:hint="cs"/>
          <w:color w:val="201F1E"/>
          <w:sz w:val="22"/>
          <w:szCs w:val="22"/>
          <w:bdr w:val="none" w:sz="0" w:space="0" w:color="auto" w:frame="1"/>
          <w:shd w:val="clear" w:color="auto" w:fill="FFFFFF"/>
          <w:rtl/>
          <w:lang w:val="fr-MA"/>
        </w:rPr>
        <w:t xml:space="preserve">تدعم الجمعية في زمن الحرب والسلم عمل الأساقفة والكهنة والجمعيات الدينية التي تقدّم المساعدة للجميع بغضّ النظر عن الانتماء الديني وذلك في مجالات أربعة: التعليم؛ الرعاية والمساعدة الاجتماعية؛ التدخّل لصالح المجتمعات المحلّية؛ الثقافة والتراث. </w:t>
      </w:r>
    </w:p>
    <w:p w14:paraId="556111EE" w14:textId="3F3B99C8" w:rsidR="005C651A" w:rsidRPr="001A608C" w:rsidRDefault="00FD3C9A" w:rsidP="001A608C">
      <w:pPr>
        <w:jc w:val="both"/>
        <w:rPr>
          <w:rFonts w:ascii="Open Sans" w:eastAsia="DejaVu Sans" w:hAnsi="Open Sans" w:cs="Open Sans"/>
          <w:b/>
          <w:bCs/>
        </w:rPr>
      </w:pPr>
      <w:r w:rsidRPr="004A0CD9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11C61" wp14:editId="481E942C">
                <wp:simplePos x="0" y="0"/>
                <wp:positionH relativeFrom="column">
                  <wp:posOffset>4824512</wp:posOffset>
                </wp:positionH>
                <wp:positionV relativeFrom="paragraph">
                  <wp:posOffset>123190</wp:posOffset>
                </wp:positionV>
                <wp:extent cx="0" cy="376518"/>
                <wp:effectExtent l="12700" t="0" r="12700" b="177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10A89" id="Connecteur droit 1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9pt,9.7pt" to="379.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07F9AED5" w14:textId="6477B3A8" w:rsidR="005C651A" w:rsidRPr="00FD3C9A" w:rsidRDefault="00FD3C9A" w:rsidP="00FD3C9A">
      <w:pPr>
        <w:bidi/>
        <w:jc w:val="both"/>
        <w:rPr>
          <w:rFonts w:ascii="Simplified Arabic" w:eastAsia="DejaVu Sans" w:hAnsi="Simplified Arabic" w:cs="Simplified Arabic"/>
          <w:b/>
          <w:bCs/>
          <w:sz w:val="22"/>
          <w:szCs w:val="22"/>
          <w:lang w:val="fr-MA"/>
        </w:rPr>
      </w:pPr>
      <w:r w:rsidRPr="00FD3C9A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  <w:t>للتنسيق مع الصحاف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ة</w:t>
      </w:r>
      <w:r w:rsidRPr="00FD3C9A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 جويل رياشي</w:t>
      </w:r>
      <w:r w:rsidRPr="004A0CD9">
        <w:rPr>
          <w:rFonts w:ascii="Open Sans" w:hAnsi="Open Sans" w:cs="Open Sans"/>
          <w:color w:val="000000" w:themeColor="text1"/>
        </w:rPr>
        <w:t xml:space="preserve">   </w:t>
      </w:r>
      <w:r>
        <w:rPr>
          <w:rFonts w:ascii="Open Sans" w:hAnsi="Open Sans" w:cs="Open Sans" w:hint="cs"/>
          <w:color w:val="000000" w:themeColor="text1"/>
          <w:rtl/>
        </w:rPr>
        <w:t xml:space="preserve">- </w:t>
      </w:r>
      <w:r w:rsidRPr="004A0CD9">
        <w:rPr>
          <w:rFonts w:ascii="Open Sans" w:hAnsi="Open Sans" w:cs="Open Sans"/>
          <w:color w:val="000000" w:themeColor="text1"/>
        </w:rPr>
        <w:t xml:space="preserve"> </w:t>
      </w:r>
      <w:hyperlink r:id="rId6" w:history="1">
        <w:r w:rsidRPr="002E2E87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  <w:r w:rsidRPr="00FD3C9A">
          <w:rPr>
            <w:rStyle w:val="Lienhypertexte"/>
            <w:rFonts w:ascii="Simplified Arabic" w:hAnsi="Simplified Arabic" w:cs="Simplified Arabic" w:hint="cs"/>
            <w:sz w:val="22"/>
            <w:szCs w:val="22"/>
            <w:u w:val="none"/>
            <w:rtl/>
          </w:rPr>
          <w:t>-</w:t>
        </w:r>
      </w:hyperlink>
      <w:r>
        <w:rPr>
          <w:rFonts w:ascii="Open Sans" w:hAnsi="Open Sans" w:cs="Open Sans" w:hint="cs"/>
          <w:sz w:val="18"/>
          <w:szCs w:val="18"/>
          <w:rtl/>
        </w:rPr>
        <w:t xml:space="preserve">  </w:t>
      </w:r>
      <w:r w:rsidRPr="00FD3C9A">
        <w:rPr>
          <w:rFonts w:ascii="Open Sans" w:hAnsi="Open Sans" w:cs="Open Sans" w:hint="cs"/>
          <w:sz w:val="18"/>
          <w:szCs w:val="18"/>
          <w:rtl/>
        </w:rPr>
        <w:t>9613780928</w:t>
      </w:r>
      <w:r w:rsidRPr="00FD3C9A">
        <w:rPr>
          <w:rStyle w:val="Lienhypertexte"/>
          <w:rFonts w:ascii="Simplified Arabic" w:hAnsi="Simplified Arabic" w:cs="Simplified Arabic" w:hint="cs"/>
          <w:sz w:val="22"/>
          <w:szCs w:val="22"/>
          <w:u w:val="none"/>
          <w:rtl/>
        </w:rPr>
        <w:t xml:space="preserve"> </w:t>
      </w:r>
      <w:r>
        <w:rPr>
          <w:rFonts w:ascii="Open Sans" w:hAnsi="Open Sans" w:cs="Open Sans" w:hint="cs"/>
          <w:sz w:val="18"/>
          <w:szCs w:val="18"/>
          <w:rtl/>
        </w:rPr>
        <w:t>+</w:t>
      </w:r>
    </w:p>
    <w:p w14:paraId="5EAC0DE2" w14:textId="4475D83C" w:rsidR="00566C4B" w:rsidRPr="003C00EC" w:rsidRDefault="005B602D" w:rsidP="00443851">
      <w:pPr>
        <w:tabs>
          <w:tab w:val="left" w:pos="8280"/>
        </w:tabs>
        <w:bidi/>
        <w:rPr>
          <w:rFonts w:ascii="Open Sans" w:eastAsia="DejaVu Sans" w:hAnsi="Open Sans" w:cs="Arial"/>
          <w:b/>
          <w:bCs/>
          <w:sz w:val="20"/>
          <w:szCs w:val="20"/>
          <w:lang w:val="fr-MA"/>
        </w:rPr>
      </w:pPr>
    </w:p>
    <w:sectPr w:rsidR="00566C4B" w:rsidRPr="003C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1A"/>
    <w:rsid w:val="000259A9"/>
    <w:rsid w:val="000330DA"/>
    <w:rsid w:val="000627F2"/>
    <w:rsid w:val="00074691"/>
    <w:rsid w:val="00100A6B"/>
    <w:rsid w:val="001060DC"/>
    <w:rsid w:val="00133726"/>
    <w:rsid w:val="00182A87"/>
    <w:rsid w:val="001969DD"/>
    <w:rsid w:val="001A608C"/>
    <w:rsid w:val="00246DD6"/>
    <w:rsid w:val="002B0FC9"/>
    <w:rsid w:val="002B7136"/>
    <w:rsid w:val="00304B52"/>
    <w:rsid w:val="00372C33"/>
    <w:rsid w:val="003C00EC"/>
    <w:rsid w:val="00443851"/>
    <w:rsid w:val="00457332"/>
    <w:rsid w:val="00511774"/>
    <w:rsid w:val="0056133A"/>
    <w:rsid w:val="00570C16"/>
    <w:rsid w:val="005A5001"/>
    <w:rsid w:val="005B602D"/>
    <w:rsid w:val="005C651A"/>
    <w:rsid w:val="005D16CC"/>
    <w:rsid w:val="005E6606"/>
    <w:rsid w:val="00627196"/>
    <w:rsid w:val="00667AAA"/>
    <w:rsid w:val="006C727B"/>
    <w:rsid w:val="006F759D"/>
    <w:rsid w:val="00712492"/>
    <w:rsid w:val="00727311"/>
    <w:rsid w:val="00750C88"/>
    <w:rsid w:val="0077581D"/>
    <w:rsid w:val="00791C91"/>
    <w:rsid w:val="007B6A40"/>
    <w:rsid w:val="007F5DF9"/>
    <w:rsid w:val="008A1828"/>
    <w:rsid w:val="008A74EE"/>
    <w:rsid w:val="008B0F94"/>
    <w:rsid w:val="008E51C9"/>
    <w:rsid w:val="00921A7B"/>
    <w:rsid w:val="009A04D5"/>
    <w:rsid w:val="009F257A"/>
    <w:rsid w:val="00A032BF"/>
    <w:rsid w:val="00A31FC6"/>
    <w:rsid w:val="00A830C5"/>
    <w:rsid w:val="00A93E10"/>
    <w:rsid w:val="00AD15D4"/>
    <w:rsid w:val="00AF286A"/>
    <w:rsid w:val="00AF6210"/>
    <w:rsid w:val="00B05347"/>
    <w:rsid w:val="00B06312"/>
    <w:rsid w:val="00BA5E97"/>
    <w:rsid w:val="00BD6011"/>
    <w:rsid w:val="00BE5D8A"/>
    <w:rsid w:val="00BF7671"/>
    <w:rsid w:val="00C97C73"/>
    <w:rsid w:val="00CF2836"/>
    <w:rsid w:val="00D400CF"/>
    <w:rsid w:val="00D5343A"/>
    <w:rsid w:val="00D56DCC"/>
    <w:rsid w:val="00D669F9"/>
    <w:rsid w:val="00E011B6"/>
    <w:rsid w:val="00E11F33"/>
    <w:rsid w:val="00E23B69"/>
    <w:rsid w:val="00E42910"/>
    <w:rsid w:val="00E45591"/>
    <w:rsid w:val="00E92B55"/>
    <w:rsid w:val="00F24B52"/>
    <w:rsid w:val="00F33EDF"/>
    <w:rsid w:val="00FA5FD9"/>
    <w:rsid w:val="00FD3C9A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B8D"/>
  <w15:chartTrackingRefBased/>
  <w15:docId w15:val="{1D942201-8420-4CB7-9D7A-97354CF6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651A"/>
    <w:pPr>
      <w:widowControl w:val="0"/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paragraph" w:styleId="Retraitcorpsdetexte">
    <w:name w:val="Body Text Indent"/>
    <w:basedOn w:val="Normal"/>
    <w:link w:val="RetraitcorpsdetexteCar"/>
    <w:rsid w:val="005C651A"/>
    <w:pPr>
      <w:tabs>
        <w:tab w:val="left" w:pos="0"/>
      </w:tabs>
      <w:ind w:left="5073"/>
    </w:pPr>
  </w:style>
  <w:style w:type="character" w:customStyle="1" w:styleId="RetraitcorpsdetexteCar">
    <w:name w:val="Retrait corps de texte Car"/>
    <w:basedOn w:val="Policepardfaut"/>
    <w:link w:val="Retraitcorpsdetexte"/>
    <w:rsid w:val="005C651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C65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608C"/>
    <w:pPr>
      <w:spacing w:before="100" w:beforeAutospacing="1" w:after="100" w:afterAutospacing="1"/>
    </w:pPr>
  </w:style>
  <w:style w:type="character" w:customStyle="1" w:styleId="break-words">
    <w:name w:val="break-words"/>
    <w:basedOn w:val="Policepardfaut"/>
    <w:rsid w:val="00BF7671"/>
  </w:style>
  <w:style w:type="character" w:styleId="Mentionnonrsolue">
    <w:name w:val="Unresolved Mention"/>
    <w:basedOn w:val="Policepardfaut"/>
    <w:uiPriority w:val="99"/>
    <w:semiHidden/>
    <w:unhideWhenUsed/>
    <w:rsid w:val="00FD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lle.riachi@auf.org-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Jean-Noël BALEO</dc:creator>
  <cp:keywords/>
  <dc:description/>
  <cp:lastModifiedBy>Joelle Riachi</cp:lastModifiedBy>
  <cp:revision>35</cp:revision>
  <dcterms:created xsi:type="dcterms:W3CDTF">2022-05-29T09:37:00Z</dcterms:created>
  <dcterms:modified xsi:type="dcterms:W3CDTF">2022-05-30T07:42:00Z</dcterms:modified>
</cp:coreProperties>
</file>