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B253" w14:textId="116D14E2" w:rsidR="005514DB" w:rsidRDefault="005514DB" w:rsidP="0047221F">
      <w:pPr>
        <w:spacing w:before="100" w:beforeAutospacing="1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val="en-US" w:eastAsia="en-GB"/>
          <w14:ligatures w14:val="none"/>
        </w:rPr>
      </w:pPr>
      <w:r>
        <w:rPr>
          <w:noProof/>
        </w:rPr>
        <w:drawing>
          <wp:inline distT="0" distB="0" distL="0" distR="0" wp14:anchorId="3F0A416D" wp14:editId="5C715C7C">
            <wp:extent cx="1650569" cy="1167797"/>
            <wp:effectExtent l="0" t="0" r="635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72" cy="11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93F3" w14:textId="1B156CD7" w:rsidR="0047221F" w:rsidRPr="003B120B" w:rsidRDefault="0047221F" w:rsidP="0047221F">
      <w:pPr>
        <w:spacing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F050D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       </w:t>
      </w:r>
      <w:r w:rsidRPr="003B120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Direction régionale Moyen-Orient</w:t>
      </w:r>
    </w:p>
    <w:p w14:paraId="4D857511" w14:textId="77777777" w:rsidR="0047221F" w:rsidRPr="003B120B" w:rsidRDefault="0047221F" w:rsidP="0047221F">
      <w:pPr>
        <w:spacing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6C0412D1" w14:textId="67BAE67E" w:rsidR="0047221F" w:rsidRPr="0047221F" w:rsidRDefault="0047221F" w:rsidP="0047221F">
      <w:pPr>
        <w:spacing w:after="100" w:afterAutospacing="1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47221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APPEL D’OFFRES</w:t>
      </w:r>
    </w:p>
    <w:p w14:paraId="186E8FB2" w14:textId="1B010E5F" w:rsidR="005514DB" w:rsidRPr="0047221F" w:rsidRDefault="005514DB" w:rsidP="005514DB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47221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Termes de </w:t>
      </w:r>
      <w:r w:rsidR="001E3C20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</w:t>
      </w:r>
      <w:r w:rsidRPr="0047221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éférence</w:t>
      </w:r>
    </w:p>
    <w:p w14:paraId="45F282F7" w14:textId="77777777" w:rsidR="0047221F" w:rsidRPr="005514DB" w:rsidRDefault="0047221F" w:rsidP="005514DB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58E73071" w14:textId="11E9FC54" w:rsidR="005514DB" w:rsidRPr="00F050D9" w:rsidRDefault="4C25276B" w:rsidP="133A08D1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Étude d’identification des besoins émergents en compétences </w:t>
      </w:r>
      <w:r w:rsidR="00A064EA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métiers </w:t>
      </w:r>
      <w:r w:rsidR="0EF8FA1A"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liées à l’</w:t>
      </w:r>
      <w:r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intelligence artificielle (IA</w:t>
      </w:r>
      <w:r w:rsidR="4D9F07F7"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)</w:t>
      </w:r>
      <w:r w:rsidR="001E3C2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en vue de la révision de cursus universitaires</w:t>
      </w:r>
      <w:r w:rsidR="00F050D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.</w:t>
      </w:r>
    </w:p>
    <w:p w14:paraId="51DE8848" w14:textId="0E242A95" w:rsidR="005514DB" w:rsidRPr="007D01E0" w:rsidRDefault="26739D98" w:rsidP="133A08D1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Pays d’intervention</w:t>
      </w:r>
      <w:r w:rsidR="4C25276B"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: Égypte</w:t>
      </w:r>
      <w:r w:rsidR="00D37DB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, Liban</w:t>
      </w:r>
      <w:r w:rsidR="4C25276B" w:rsidRPr="007D01E0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et Palestine</w:t>
      </w:r>
    </w:p>
    <w:p w14:paraId="611F11FD" w14:textId="4580B0E6" w:rsidR="005514DB" w:rsidRPr="005514DB" w:rsidRDefault="005514DB" w:rsidP="00F73483">
      <w:pPr>
        <w:spacing w:after="120"/>
      </w:pPr>
    </w:p>
    <w:p w14:paraId="0001FCF7" w14:textId="2B421E3E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1. Contexte </w:t>
      </w:r>
    </w:p>
    <w:p w14:paraId="703C16E8" w14:textId="17B45469" w:rsidR="133A08D1" w:rsidRPr="007D01E0" w:rsidRDefault="3561CFD2" w:rsidP="00F7348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L’intelligence artificielle (IA) transforme en profondeur les pratiques professionnelles, les modèles économiques ainsi que les systèmes éducatifs à l’échelle mondiale. Dans un contexte de mutation rapide, anticiper les compétences requises </w:t>
      </w:r>
      <w:r w:rsidR="006F1419"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dans les métiers fortement impactés par les outils d’IA </w:t>
      </w:r>
      <w:r w:rsidR="003356C5">
        <w:rPr>
          <w:rFonts w:ascii="Calibri" w:eastAsia="Times New Roman" w:hAnsi="Calibri" w:cs="Calibri"/>
          <w:sz w:val="22"/>
          <w:szCs w:val="22"/>
          <w:lang w:eastAsia="en-GB"/>
        </w:rPr>
        <w:t xml:space="preserve">générative 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devient une priorité stratégique</w:t>
      </w:r>
      <w:r w:rsidR="001C435A">
        <w:rPr>
          <w:rFonts w:ascii="Calibri" w:eastAsia="Times New Roman" w:hAnsi="Calibri" w:cs="Calibri"/>
          <w:sz w:val="22"/>
          <w:szCs w:val="22"/>
          <w:lang w:eastAsia="en-GB"/>
        </w:rPr>
        <w:t>. Adapter</w:t>
      </w:r>
      <w:r w:rsidR="009C052D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les cursus universitaires </w:t>
      </w:r>
      <w:r w:rsidR="001B4E34">
        <w:rPr>
          <w:rFonts w:ascii="Calibri" w:eastAsia="Times New Roman" w:hAnsi="Calibri" w:cs="Calibri"/>
          <w:sz w:val="22"/>
          <w:szCs w:val="22"/>
          <w:lang w:eastAsia="en-GB"/>
        </w:rPr>
        <w:t xml:space="preserve">aux besoins réels du marché du travail </w:t>
      </w:r>
      <w:r w:rsidR="001B4E34" w:rsidRPr="3CFACE86">
        <w:rPr>
          <w:rFonts w:ascii="Calibri" w:eastAsia="Times New Roman" w:hAnsi="Calibri" w:cs="Calibri"/>
          <w:sz w:val="22"/>
          <w:szCs w:val="22"/>
          <w:lang w:eastAsia="en-GB"/>
        </w:rPr>
        <w:t>devient</w:t>
      </w:r>
      <w:r w:rsidR="001B4E34">
        <w:rPr>
          <w:rFonts w:ascii="Calibri" w:eastAsia="Times New Roman" w:hAnsi="Calibri" w:cs="Calibri"/>
          <w:sz w:val="22"/>
          <w:szCs w:val="22"/>
          <w:lang w:eastAsia="en-GB"/>
        </w:rPr>
        <w:t xml:space="preserve"> essentiel.</w:t>
      </w:r>
    </w:p>
    <w:p w14:paraId="61201CE1" w14:textId="24460E22" w:rsidR="00E33BA4" w:rsidRPr="006F1419" w:rsidRDefault="00E33BA4" w:rsidP="00E33BA4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Nombre d’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étude</w:t>
      </w:r>
      <w:r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met</w:t>
      </w:r>
      <w:r>
        <w:rPr>
          <w:rFonts w:ascii="Calibri" w:eastAsia="Times New Roman" w:hAnsi="Calibri" w:cs="Calibri"/>
          <w:sz w:val="22"/>
          <w:szCs w:val="22"/>
          <w:lang w:eastAsia="en-GB"/>
        </w:rPr>
        <w:t>tent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en lumière un changement radical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à venir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dans le paysage professionnel : plus de 80 % des métiers devraient voir au moins 10 % de leurs tâches modifiées par l’IA, tandis qu</w:t>
      </w:r>
      <w:r>
        <w:rPr>
          <w:rFonts w:ascii="Calibri" w:eastAsia="Times New Roman" w:hAnsi="Calibri" w:cs="Calibri"/>
          <w:sz w:val="22"/>
          <w:szCs w:val="22"/>
          <w:lang w:eastAsia="en-GB"/>
        </w:rPr>
        <w:t>’environ 20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% pourraient être impactés à hauteur de 50 %. Parallèlement, l’IA générative promet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d’accroître considérablement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la productivité </w:t>
      </w:r>
      <w:r w:rsidR="0020554C">
        <w:rPr>
          <w:rFonts w:ascii="Calibri" w:eastAsia="Times New Roman" w:hAnsi="Calibri" w:cs="Calibri"/>
          <w:sz w:val="22"/>
          <w:szCs w:val="22"/>
          <w:lang w:eastAsia="en-GB"/>
        </w:rPr>
        <w:t xml:space="preserve">dans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de nombreux secteurs économiques. La région du Moyen-Orient ne f</w:t>
      </w:r>
      <w:r>
        <w:rPr>
          <w:rFonts w:ascii="Calibri" w:eastAsia="Times New Roman" w:hAnsi="Calibri" w:cs="Calibri"/>
          <w:sz w:val="22"/>
          <w:szCs w:val="22"/>
          <w:lang w:eastAsia="en-GB"/>
        </w:rPr>
        <w:t>ait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pas exception à ces tendances de fond.  </w:t>
      </w:r>
    </w:p>
    <w:p w14:paraId="2800C0BA" w14:textId="6F0CA6C8" w:rsidR="00E33BA4" w:rsidRPr="006F1419" w:rsidRDefault="00E33BA4" w:rsidP="00E33BA4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Cette révolution dans les métiers et les pratiques professionnelles impose une adaptation des cursus universitaires, qui </w:t>
      </w:r>
      <w:r w:rsidR="0020554C">
        <w:rPr>
          <w:rFonts w:ascii="Calibri" w:eastAsia="Times New Roman" w:hAnsi="Calibri" w:cs="Calibri"/>
          <w:sz w:val="22"/>
          <w:szCs w:val="22"/>
          <w:lang w:eastAsia="en-GB"/>
        </w:rPr>
        <w:t>doivent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rester pertinents dans un monde où la maîtrise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des outils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de l’IA devient de plus en plus cruciale. Dans cette optique, il est nécessaire d’analyser et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d’anticiper l’évolution des métiers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constituant les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principaux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débouchés professionnels en étudiant l’impact de la révolution de l’IA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générative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sur les besoins futurs du marché du travail.</w:t>
      </w:r>
    </w:p>
    <w:p w14:paraId="473F620D" w14:textId="77777777" w:rsidR="00F61D63" w:rsidRPr="006F1419" w:rsidRDefault="00F61D63" w:rsidP="00F61D63">
      <w:pPr>
        <w:spacing w:after="120" w:line="259" w:lineRule="auto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Une démarche prospective d’adaptation des cursus est cruciale, pour réviser et concevoir des cursus universitaires flexibles et évolutifs qui intègrent les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nouvelles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compétences liées à l’IA. Les universités doivent préparer les étudiants à des carrières en constante</w:t>
      </w:r>
      <w:r w:rsidRPr="00211DC5">
        <w:t xml:space="preserve">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 xml:space="preserve">mutation, les dotant des outils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et compétences </w:t>
      </w:r>
      <w:r w:rsidRPr="006F1419">
        <w:rPr>
          <w:rFonts w:ascii="Calibri" w:eastAsia="Times New Roman" w:hAnsi="Calibri" w:cs="Calibri"/>
          <w:sz w:val="22"/>
          <w:szCs w:val="22"/>
          <w:lang w:eastAsia="en-GB"/>
        </w:rPr>
        <w:t>nécessaires pour s’adapter efficacement à un environnement professionnel en pleine transformation.</w:t>
      </w:r>
    </w:p>
    <w:p w14:paraId="3C6F53BC" w14:textId="77777777" w:rsidR="0020554C" w:rsidRDefault="3C9646DF" w:rsidP="00F7348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>C’est dans ce</w:t>
      </w:r>
      <w:r w:rsidR="0047221F"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 contexte général 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que l’Agence </w:t>
      </w:r>
      <w:r w:rsidR="00C52C35">
        <w:rPr>
          <w:rFonts w:ascii="Calibri" w:eastAsia="Times New Roman" w:hAnsi="Calibri" w:cs="Calibri"/>
          <w:sz w:val="22"/>
          <w:szCs w:val="22"/>
          <w:lang w:eastAsia="en-GB"/>
        </w:rPr>
        <w:t>U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>niversitaire de la Francophonie (AUF) lance une étude visant à identifier les compétences émergentes liées à l’usage de l’IA dans les métiers les plus impactés par l’essor de l’IA générative</w:t>
      </w:r>
      <w:r w:rsidR="0014209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1420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dans les secteurs professionnels prioritaires ou prépondérants sur le marché du travail formel en Égypte</w:t>
      </w:r>
      <w:r w:rsidR="00271F3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1420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au Liban et en Palestine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14:paraId="3B04CD07" w14:textId="66993A75" w:rsidR="133A08D1" w:rsidRDefault="3C9646DF" w:rsidP="00F7348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lastRenderedPageBreak/>
        <w:t>L’accent n’est pas mis sur les compétences techn</w:t>
      </w:r>
      <w:r w:rsidR="003C5521">
        <w:rPr>
          <w:rFonts w:ascii="Calibri" w:eastAsia="Times New Roman" w:hAnsi="Calibri" w:cs="Calibri"/>
          <w:sz w:val="22"/>
          <w:szCs w:val="22"/>
          <w:lang w:eastAsia="en-GB"/>
        </w:rPr>
        <w:t>olog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iques propres aux métiers de l’IA </w:t>
      </w:r>
      <w:r w:rsidR="00007D1A"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(codage, </w:t>
      </w:r>
      <w:r w:rsidR="00271F33">
        <w:rPr>
          <w:rFonts w:ascii="Calibri" w:eastAsia="Times New Roman" w:hAnsi="Calibri" w:cs="Calibri"/>
          <w:sz w:val="22"/>
          <w:szCs w:val="22"/>
          <w:lang w:eastAsia="en-GB"/>
        </w:rPr>
        <w:t xml:space="preserve">machine </w:t>
      </w:r>
      <w:proofErr w:type="spellStart"/>
      <w:r w:rsidR="00271F33">
        <w:rPr>
          <w:rFonts w:ascii="Calibri" w:eastAsia="Times New Roman" w:hAnsi="Calibri" w:cs="Calibri"/>
          <w:sz w:val="22"/>
          <w:szCs w:val="22"/>
          <w:lang w:eastAsia="en-GB"/>
        </w:rPr>
        <w:t>learning</w:t>
      </w:r>
      <w:proofErr w:type="spellEnd"/>
      <w:r w:rsidR="00271F33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007D1A"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données, etc.) 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mais sur celles attendues dans des professions </w:t>
      </w:r>
      <w:r w:rsidR="00F61D63">
        <w:rPr>
          <w:rFonts w:ascii="Calibri" w:eastAsia="Times New Roman" w:hAnsi="Calibri" w:cs="Calibri"/>
          <w:sz w:val="22"/>
          <w:szCs w:val="22"/>
          <w:lang w:eastAsia="en-GB"/>
        </w:rPr>
        <w:t>répandues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 et </w:t>
      </w:r>
      <w:r w:rsidR="003356C5"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appelés à être 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profondément transformées par l’IA générative, </w:t>
      </w:r>
      <w:r w:rsidR="00C25AF2">
        <w:rPr>
          <w:rFonts w:ascii="Calibri" w:eastAsia="Times New Roman" w:hAnsi="Calibri" w:cs="Calibri"/>
          <w:sz w:val="22"/>
          <w:szCs w:val="22"/>
          <w:lang w:eastAsia="en-GB"/>
        </w:rPr>
        <w:t xml:space="preserve">amenées à 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évoluer ou même </w:t>
      </w:r>
      <w:r w:rsidR="00C25AF2">
        <w:rPr>
          <w:rFonts w:ascii="Calibri" w:eastAsia="Times New Roman" w:hAnsi="Calibri" w:cs="Calibri"/>
          <w:sz w:val="22"/>
          <w:szCs w:val="22"/>
          <w:lang w:eastAsia="en-GB"/>
        </w:rPr>
        <w:t>à</w:t>
      </w:r>
      <w:r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 disparaître, ainsi que dans les nouveaux métiers appelés à émerger sous l’effet de ces transformations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4890C26"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 Cette analyse tiendra compte des spécificités économiques, éducatives et technologiques de</w:t>
      </w:r>
      <w:r w:rsidR="003356C5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4890C26"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 trois pays </w:t>
      </w:r>
      <w:r w:rsidR="000A7CEB">
        <w:rPr>
          <w:rFonts w:ascii="Calibri" w:eastAsia="Times New Roman" w:hAnsi="Calibri" w:cs="Calibri"/>
          <w:sz w:val="22"/>
          <w:szCs w:val="22"/>
          <w:lang w:eastAsia="en-GB"/>
        </w:rPr>
        <w:t>concernés</w:t>
      </w:r>
      <w:r w:rsidR="003356C5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4890C26"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 le Liban, l’Égypte et la Palestine.</w:t>
      </w:r>
    </w:p>
    <w:p w14:paraId="430FC48A" w14:textId="67CCFAC0" w:rsidR="133A08D1" w:rsidRDefault="3561CFD2" w:rsidP="00F7348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Cette initiative s’inscrit dans le cadre du projet </w:t>
      </w:r>
      <w:r w:rsidR="006F1419" w:rsidRPr="71AA9150">
        <w:rPr>
          <w:rFonts w:ascii="Calibri" w:eastAsia="Times New Roman" w:hAnsi="Calibri" w:cs="Calibri"/>
          <w:sz w:val="22"/>
          <w:szCs w:val="22"/>
          <w:lang w:eastAsia="en-GB"/>
        </w:rPr>
        <w:t>« </w:t>
      </w:r>
      <w:r w:rsidRPr="00A45F99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Soutien à l’intégration de l’intelligence artificielle dans l’enseignement supérieur au Moyen-Orient</w:t>
      </w:r>
      <w:r w:rsidR="006F1419" w:rsidRPr="71AA9150">
        <w:rPr>
          <w:rFonts w:ascii="Calibri" w:eastAsia="Times New Roman" w:hAnsi="Calibri" w:cs="Calibri"/>
          <w:sz w:val="22"/>
          <w:szCs w:val="22"/>
          <w:lang w:eastAsia="en-GB"/>
        </w:rPr>
        <w:t> »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 xml:space="preserve">, financé par le </w:t>
      </w:r>
      <w:r w:rsidR="00C73217">
        <w:rPr>
          <w:rFonts w:ascii="Calibri" w:eastAsia="Times New Roman" w:hAnsi="Calibri" w:cs="Calibri"/>
          <w:sz w:val="22"/>
          <w:szCs w:val="22"/>
          <w:lang w:eastAsia="en-GB"/>
        </w:rPr>
        <w:t>M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inistère de l’</w:t>
      </w:r>
      <w:r w:rsidR="00C25AF2">
        <w:rPr>
          <w:rFonts w:ascii="Calibri" w:eastAsia="Times New Roman" w:hAnsi="Calibri" w:cs="Calibri"/>
          <w:sz w:val="22"/>
          <w:szCs w:val="22"/>
          <w:lang w:eastAsia="en-GB"/>
        </w:rPr>
        <w:t>Eu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rope et des Affaires étrangères (</w:t>
      </w:r>
      <w:r w:rsidR="00C25AF2">
        <w:rPr>
          <w:rFonts w:ascii="Calibri" w:eastAsia="Times New Roman" w:hAnsi="Calibri" w:cs="Calibri"/>
          <w:sz w:val="22"/>
          <w:szCs w:val="22"/>
          <w:lang w:eastAsia="en-GB"/>
        </w:rPr>
        <w:t>MEAE</w:t>
      </w:r>
      <w:r w:rsidR="00C11285">
        <w:rPr>
          <w:rFonts w:ascii="Calibri" w:eastAsia="Times New Roman" w:hAnsi="Calibri" w:cs="Calibri"/>
          <w:sz w:val="22"/>
          <w:szCs w:val="22"/>
          <w:lang w:eastAsia="en-GB"/>
        </w:rPr>
        <w:t>, France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) et mis en œuvre par l’AUF</w:t>
      </w:r>
      <w:r w:rsidR="000A7CEB">
        <w:rPr>
          <w:rFonts w:ascii="Calibri" w:eastAsia="Times New Roman" w:hAnsi="Calibri" w:cs="Calibri"/>
          <w:sz w:val="22"/>
          <w:szCs w:val="22"/>
          <w:lang w:eastAsia="en-GB"/>
        </w:rPr>
        <w:t xml:space="preserve"> au Moyen-Orient</w:t>
      </w:r>
      <w:r w:rsidRPr="71AA9150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907DA4">
        <w:rPr>
          <w:rFonts w:ascii="Calibri" w:eastAsia="Times New Roman" w:hAnsi="Calibri" w:cs="Calibri"/>
          <w:sz w:val="22"/>
          <w:szCs w:val="22"/>
          <w:lang w:eastAsia="en-GB"/>
        </w:rPr>
        <w:t xml:space="preserve"> Ce projet vise à soutenir l’intégration de l’IA dans </w:t>
      </w:r>
      <w:r w:rsidR="00FB5CCC">
        <w:rPr>
          <w:rFonts w:ascii="Calibri" w:eastAsia="Times New Roman" w:hAnsi="Calibri" w:cs="Calibri"/>
          <w:sz w:val="22"/>
          <w:szCs w:val="22"/>
          <w:lang w:eastAsia="en-GB"/>
        </w:rPr>
        <w:t>une douzaine d’universités bénéficiaires localisées dans les 3 pays, et comporte une composante d</w:t>
      </w:r>
      <w:r w:rsidR="00D80840">
        <w:rPr>
          <w:rFonts w:ascii="Calibri" w:eastAsia="Times New Roman" w:hAnsi="Calibri" w:cs="Calibri"/>
          <w:sz w:val="22"/>
          <w:szCs w:val="22"/>
          <w:lang w:eastAsia="en-GB"/>
        </w:rPr>
        <w:t>e rénovation de cursus universitaires</w:t>
      </w:r>
      <w:r w:rsidR="009F5BCD">
        <w:rPr>
          <w:rFonts w:ascii="Calibri" w:eastAsia="Times New Roman" w:hAnsi="Calibri" w:cs="Calibri"/>
          <w:sz w:val="22"/>
          <w:szCs w:val="22"/>
          <w:lang w:eastAsia="en-GB"/>
        </w:rPr>
        <w:t xml:space="preserve"> par anticipation </w:t>
      </w:r>
      <w:r w:rsidR="00CE052B">
        <w:rPr>
          <w:rFonts w:ascii="Calibri" w:eastAsia="Times New Roman" w:hAnsi="Calibri" w:cs="Calibri"/>
          <w:sz w:val="22"/>
          <w:szCs w:val="22"/>
          <w:lang w:eastAsia="en-GB"/>
        </w:rPr>
        <w:t>des nouveaux besoins en compétences liés à la transformation de</w:t>
      </w:r>
      <w:r w:rsidR="00390991">
        <w:rPr>
          <w:rFonts w:ascii="Calibri" w:eastAsia="Times New Roman" w:hAnsi="Calibri" w:cs="Calibri"/>
          <w:sz w:val="22"/>
          <w:szCs w:val="22"/>
          <w:lang w:eastAsia="en-GB"/>
        </w:rPr>
        <w:t xml:space="preserve"> métiers fortement impactés par l’IA</w:t>
      </w:r>
      <w:r w:rsidR="00D80840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2022113" w14:textId="05C64E5A" w:rsidR="71AA9150" w:rsidRPr="00C11285" w:rsidRDefault="1B5CBEAE" w:rsidP="00F30366">
      <w:pPr>
        <w:spacing w:after="240"/>
        <w:jc w:val="both"/>
      </w:pPr>
      <w:r w:rsidRPr="71AA9150">
        <w:rPr>
          <w:rFonts w:ascii="Calibri" w:eastAsia="Calibri" w:hAnsi="Calibri" w:cs="Calibri"/>
          <w:sz w:val="22"/>
          <w:szCs w:val="22"/>
        </w:rPr>
        <w:t xml:space="preserve">L’étude vise à éclairer les choix </w:t>
      </w:r>
      <w:r w:rsidR="000D66BA">
        <w:rPr>
          <w:rFonts w:ascii="Calibri" w:eastAsia="Calibri" w:hAnsi="Calibri" w:cs="Calibri"/>
          <w:sz w:val="22"/>
          <w:szCs w:val="22"/>
        </w:rPr>
        <w:t xml:space="preserve">que peuvent faire les universités bénéficiaires du projet </w:t>
      </w:r>
      <w:r w:rsidRPr="71AA9150">
        <w:rPr>
          <w:rFonts w:ascii="Calibri" w:eastAsia="Calibri" w:hAnsi="Calibri" w:cs="Calibri"/>
          <w:sz w:val="22"/>
          <w:szCs w:val="22"/>
        </w:rPr>
        <w:t>en matière d’orientation des formations et de développement des compétences, afin de favoriser l’insertion professionnelle des diplômés et de répondre aux besoins d’un marché du travail en mutation</w:t>
      </w:r>
      <w:r w:rsidR="00907DA4">
        <w:rPr>
          <w:rFonts w:ascii="Calibri" w:eastAsia="Calibri" w:hAnsi="Calibri" w:cs="Calibri"/>
          <w:sz w:val="22"/>
          <w:szCs w:val="22"/>
        </w:rPr>
        <w:t xml:space="preserve"> sous l’effet de</w:t>
      </w:r>
      <w:r w:rsidRPr="71AA9150">
        <w:rPr>
          <w:rFonts w:ascii="Calibri" w:eastAsia="Calibri" w:hAnsi="Calibri" w:cs="Calibri"/>
          <w:sz w:val="22"/>
          <w:szCs w:val="22"/>
        </w:rPr>
        <w:t xml:space="preserve"> la transformation numérique.</w:t>
      </w:r>
    </w:p>
    <w:p w14:paraId="7873F646" w14:textId="6931A84F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2. Objectifs de l’étude</w:t>
      </w:r>
    </w:p>
    <w:p w14:paraId="13BBD9B0" w14:textId="77777777" w:rsidR="005514DB" w:rsidRPr="005514DB" w:rsidRDefault="005514DB" w:rsidP="00F73483">
      <w:pPr>
        <w:spacing w:after="120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Objectif général</w:t>
      </w:r>
    </w:p>
    <w:p w14:paraId="06C34EFD" w14:textId="50FB5A10" w:rsidR="133A08D1" w:rsidRDefault="4C25276B" w:rsidP="00F73483">
      <w:p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Identifier les compétences émergentes </w:t>
      </w:r>
      <w:r w:rsidR="00BB6A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liés aux outils d’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intelligence artificielle </w:t>
      </w:r>
      <w:r w:rsidR="00C32B1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générative 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dans les secteurs professionnels prioritaires </w:t>
      </w:r>
      <w:r w:rsidR="009C718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ou prépondérants sur le marché du travail formel </w:t>
      </w:r>
      <w:r w:rsidR="00C32B18"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en Égypte</w:t>
      </w:r>
      <w:r w:rsidR="00152A0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C32B18"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 Liban et en Palestine, afin d’élaborer des recommandations pour l’adaptation des formations universitaires </w:t>
      </w:r>
      <w:r w:rsidR="009D5BA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préparant à ces métiers 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et </w:t>
      </w:r>
      <w:r w:rsidR="00D359A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pour l’amélioration de 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l’insertion des</w:t>
      </w:r>
      <w:r w:rsidR="00D359A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jeunes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diplômés.</w:t>
      </w:r>
      <w:r w:rsidR="00BB6A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Il ne s’agit pas </w:t>
      </w:r>
      <w:r w:rsidR="00BB6ABA" w:rsidDel="007402C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</w:t>
      </w:r>
      <w:r w:rsidR="007402C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cibler</w:t>
      </w:r>
      <w:r w:rsidR="009D5BA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les métiers purement techn</w:t>
      </w:r>
      <w:r w:rsidR="00543C7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olog</w:t>
      </w:r>
      <w:r w:rsidR="009D5BA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iques liées à l’IA (</w:t>
      </w:r>
      <w:r w:rsidR="00152A04" w:rsidRPr="0010002B">
        <w:rPr>
          <w:rFonts w:ascii="Calibri" w:eastAsia="Times New Roman" w:hAnsi="Calibri" w:cs="Calibri"/>
          <w:sz w:val="22"/>
          <w:szCs w:val="22"/>
          <w:lang w:eastAsia="en-GB"/>
        </w:rPr>
        <w:t xml:space="preserve">codage, </w:t>
      </w:r>
      <w:r w:rsidR="00152A04">
        <w:rPr>
          <w:rFonts w:ascii="Calibri" w:eastAsia="Times New Roman" w:hAnsi="Calibri" w:cs="Calibri"/>
          <w:sz w:val="22"/>
          <w:szCs w:val="22"/>
          <w:lang w:eastAsia="en-GB"/>
        </w:rPr>
        <w:t xml:space="preserve">machine </w:t>
      </w:r>
      <w:proofErr w:type="spellStart"/>
      <w:r w:rsidR="00152A04">
        <w:rPr>
          <w:rFonts w:ascii="Calibri" w:eastAsia="Times New Roman" w:hAnsi="Calibri" w:cs="Calibri"/>
          <w:sz w:val="22"/>
          <w:szCs w:val="22"/>
          <w:lang w:eastAsia="en-GB"/>
        </w:rPr>
        <w:t>learning</w:t>
      </w:r>
      <w:proofErr w:type="spellEnd"/>
      <w:r w:rsidR="009D5BA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données) mais </w:t>
      </w:r>
      <w:r w:rsidR="00777A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bien les </w:t>
      </w:r>
      <w:r w:rsidR="009D5BA2" w:rsidDel="004C0A6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compétences</w:t>
      </w:r>
      <w:r w:rsidR="004C0A6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transversales</w:t>
      </w:r>
      <w:r w:rsidR="00777A8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CF65C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nécessaires dans</w:t>
      </w:r>
      <w:r w:rsidR="00C4058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les métiers</w:t>
      </w:r>
      <w:r w:rsidR="002C133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9D5BA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les plus impactés par l’irruption d’outils d’IA </w:t>
      </w:r>
      <w:r w:rsidR="00A064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et notamment l’IA générative</w:t>
      </w:r>
      <w:r w:rsidR="00C4058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parmi les métiers les plus répandus</w:t>
      </w:r>
      <w:r w:rsidR="00A064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BB6A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(traduction, droit, santé, </w:t>
      </w:r>
      <w:r w:rsidR="00A064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éducation, journalisme, services, </w:t>
      </w:r>
      <w:r w:rsidR="00543C7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ingénierie, design, </w:t>
      </w:r>
      <w:r w:rsidR="00BB6A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etc.)</w:t>
      </w:r>
    </w:p>
    <w:p w14:paraId="71F1A41B" w14:textId="4EF2C3A1" w:rsidR="00A064EA" w:rsidRPr="009D5BA2" w:rsidRDefault="00A064EA" w:rsidP="00F73483">
      <w:p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L’étude doit </w:t>
      </w:r>
      <w:r w:rsidR="00E1271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permettre au prestataire de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proposer </w:t>
      </w:r>
      <w:r w:rsidR="007057F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ensuite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des </w:t>
      </w:r>
      <w:r w:rsidR="00D359A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orientations générales </w:t>
      </w:r>
      <w:r w:rsidR="003B698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termes de </w:t>
      </w:r>
      <w:r w:rsidR="00421A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propositions de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modifications de cursus dans les formations </w:t>
      </w:r>
      <w:r w:rsidR="009F75C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universitaires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préparant à ces métiers les plus impactés</w:t>
      </w:r>
      <w:r w:rsidR="007057F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sur des bases rationnelles et étayées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5A34B7C8" w14:textId="77777777" w:rsidR="005514DB" w:rsidRPr="005514DB" w:rsidRDefault="005514DB" w:rsidP="00F73483">
      <w:pPr>
        <w:spacing w:after="120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Objectifs spécifiques</w:t>
      </w:r>
    </w:p>
    <w:p w14:paraId="337B5A62" w14:textId="62DBC2ED" w:rsidR="005514DB" w:rsidRPr="009A70D0" w:rsidRDefault="0085507D" w:rsidP="00F73483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Réaliser un diagnostic des besoins</w:t>
      </w:r>
      <w:r w:rsidR="000A497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:</w:t>
      </w:r>
    </w:p>
    <w:p w14:paraId="74C0C0BA" w14:textId="20BED14F" w:rsidR="00E34E04" w:rsidRPr="00F73483" w:rsidRDefault="00E34E04" w:rsidP="00F73483">
      <w:pPr>
        <w:numPr>
          <w:ilvl w:val="1"/>
          <w:numId w:val="2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Identifier</w:t>
      </w:r>
      <w:r w:rsidR="000361C9"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dans les 3 pays les secteurs et</w:t>
      </w: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les métiers ou catégories de métiers les plus affectés par l’émergence des outils de l’IA générative</w:t>
      </w:r>
      <w:r w:rsidR="590A5B05"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</w:t>
      </w:r>
      <w:r w:rsidR="590A5B05" w:rsidRPr="009A70D0">
        <w:rPr>
          <w:rFonts w:ascii="Calibri" w:eastAsia="Times New Roman" w:hAnsi="Calibri" w:cs="Calibri"/>
          <w:sz w:val="22"/>
          <w:szCs w:val="22"/>
          <w:lang w:eastAsia="en-GB"/>
        </w:rPr>
        <w:t>n distinguant les métiers appelés à évoluer, à disparaître ou à se réinventer, ainsi que ceux susceptibles d’émerger.</w:t>
      </w:r>
    </w:p>
    <w:p w14:paraId="5BFE0FBA" w14:textId="101D8F5F" w:rsidR="00AD37E8" w:rsidRPr="00AD37E8" w:rsidRDefault="00AD37E8" w:rsidP="00F73483">
      <w:pPr>
        <w:numPr>
          <w:ilvl w:val="1"/>
          <w:numId w:val="2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16A6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Déterminer les compétences émergentes liées à l’usage de l’IA générative dans ces secteurs et métiers identifiés, en mettant l’accent sur celles les plus recherchées par les employeurs et pertinentes pour l’insertion professionnelle des jeunes diplômés.</w:t>
      </w:r>
    </w:p>
    <w:p w14:paraId="48FADD2F" w14:textId="1138A967" w:rsidR="7F338E50" w:rsidRPr="009A70D0" w:rsidRDefault="7F338E50" w:rsidP="00F73483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9A70D0">
        <w:rPr>
          <w:rFonts w:ascii="Calibri" w:eastAsia="Times New Roman" w:hAnsi="Calibri" w:cs="Calibri"/>
          <w:sz w:val="22"/>
          <w:szCs w:val="22"/>
          <w:lang w:eastAsia="en-GB"/>
        </w:rPr>
        <w:t xml:space="preserve">Cartographier les métiers en mutation ou en émergence sous l’effet de l’IA générative </w:t>
      </w:r>
      <w:r w:rsidR="00DB4641"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dans les secteurs les plus porteurs en termes de débouchés</w:t>
      </w:r>
      <w:r w:rsidR="00DB4641" w:rsidRPr="009A70D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9A70D0">
        <w:rPr>
          <w:rFonts w:ascii="Calibri" w:eastAsia="Times New Roman" w:hAnsi="Calibri" w:cs="Calibri"/>
          <w:sz w:val="22"/>
          <w:szCs w:val="22"/>
          <w:lang w:eastAsia="en-GB"/>
        </w:rPr>
        <w:t>dans les trois pays étudiés.</w:t>
      </w:r>
    </w:p>
    <w:p w14:paraId="3DAA0B54" w14:textId="3067427C" w:rsidR="7F338E50" w:rsidRPr="009A70D0" w:rsidRDefault="7F338E50" w:rsidP="00F73483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9A70D0">
        <w:rPr>
          <w:rFonts w:ascii="Calibri" w:eastAsia="Times New Roman" w:hAnsi="Calibri" w:cs="Calibri"/>
          <w:sz w:val="22"/>
          <w:szCs w:val="22"/>
          <w:lang w:eastAsia="en-GB"/>
        </w:rPr>
        <w:t xml:space="preserve">Élaborer un référentiel contextualisé de compétences liées à l’IA générative, adapté aux réalités économiques et éducatives du Liban, de l’Égypte et de la Palestine, et conçu pour </w:t>
      </w:r>
      <w:r w:rsidR="00FC1B20" w:rsidRPr="009A70D0">
        <w:rPr>
          <w:rFonts w:ascii="Calibri" w:eastAsia="Times New Roman" w:hAnsi="Calibri" w:cs="Calibri"/>
          <w:sz w:val="22"/>
          <w:szCs w:val="22"/>
          <w:lang w:eastAsia="en-GB"/>
        </w:rPr>
        <w:t>orienter la conception ou la ré</w:t>
      </w:r>
      <w:r w:rsidR="003B6983">
        <w:rPr>
          <w:rFonts w:ascii="Calibri" w:eastAsia="Times New Roman" w:hAnsi="Calibri" w:cs="Calibri"/>
          <w:sz w:val="22"/>
          <w:szCs w:val="22"/>
          <w:lang w:eastAsia="en-GB"/>
        </w:rPr>
        <w:t>vis</w:t>
      </w:r>
      <w:r w:rsidR="00FC1B20" w:rsidRPr="009A70D0">
        <w:rPr>
          <w:rFonts w:ascii="Calibri" w:eastAsia="Times New Roman" w:hAnsi="Calibri" w:cs="Calibri"/>
          <w:sz w:val="22"/>
          <w:szCs w:val="22"/>
          <w:lang w:eastAsia="en-GB"/>
        </w:rPr>
        <w:t>ion</w:t>
      </w:r>
      <w:r w:rsidRPr="009A70D0">
        <w:rPr>
          <w:rFonts w:ascii="Calibri" w:eastAsia="Times New Roman" w:hAnsi="Calibri" w:cs="Calibri"/>
          <w:sz w:val="22"/>
          <w:szCs w:val="22"/>
          <w:lang w:eastAsia="en-GB"/>
        </w:rPr>
        <w:t xml:space="preserve"> des cursus universitaires.</w:t>
      </w:r>
    </w:p>
    <w:p w14:paraId="2372EB7D" w14:textId="439FDB40" w:rsidR="005514DB" w:rsidRPr="009A70D0" w:rsidRDefault="005514DB" w:rsidP="00F30366">
      <w:pPr>
        <w:numPr>
          <w:ilvl w:val="0"/>
          <w:numId w:val="2"/>
        </w:numPr>
        <w:spacing w:after="240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Proposer des recommandations concrètes</w:t>
      </w:r>
      <w:r w:rsidR="00E6289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et opérationnelles</w:t>
      </w: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pour </w:t>
      </w:r>
      <w:r w:rsidR="006350F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la révision</w:t>
      </w: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A064EA"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 cursus de formations </w:t>
      </w:r>
      <w:r w:rsidR="00421A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universitaires</w:t>
      </w:r>
      <w:r w:rsidR="00C643C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conduisant aux filières prépondérantes en termes de génération d’emploi et fortement impactées</w:t>
      </w:r>
      <w:r w:rsidR="00F3036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par les nouveaux outils d’IA générative</w:t>
      </w:r>
      <w:r w:rsidRPr="009A70D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0AC0E438" w14:textId="77777777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3. Méthodologie attendue</w:t>
      </w:r>
    </w:p>
    <w:p w14:paraId="2BBD5889" w14:textId="20B50F6F" w:rsidR="64DAE68E" w:rsidRDefault="64DAE68E" w:rsidP="00F7348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71AA9150">
        <w:rPr>
          <w:rFonts w:ascii="Calibri" w:eastAsia="Calibri" w:hAnsi="Calibri" w:cs="Calibri"/>
          <w:sz w:val="22"/>
          <w:szCs w:val="22"/>
        </w:rPr>
        <w:t>L’étude adoptera une approche mixte combinant méthodes quantitatives et qualitatives, comprenant notamment :</w:t>
      </w:r>
    </w:p>
    <w:p w14:paraId="730D3136" w14:textId="5D3705EA" w:rsidR="64DAE68E" w:rsidRPr="00782485" w:rsidRDefault="64DAE68E" w:rsidP="00F73483">
      <w:pPr>
        <w:pStyle w:val="ListParagraph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 w:rsidRPr="00782485">
        <w:rPr>
          <w:rFonts w:ascii="Calibri" w:eastAsia="Calibri" w:hAnsi="Calibri" w:cs="Calibri"/>
          <w:sz w:val="22"/>
          <w:szCs w:val="22"/>
        </w:rPr>
        <w:t>Une revue de la littérature sur les tendances internationales et régionales relatives aux compétences attendues dans les professions les plus transformées par l’irruption des outils d’IA générative.</w:t>
      </w:r>
    </w:p>
    <w:p w14:paraId="2AFCCD66" w14:textId="77777777" w:rsidR="00194292" w:rsidRPr="00F73483" w:rsidRDefault="00194292" w:rsidP="003B6983">
      <w:pPr>
        <w:pStyle w:val="ListParagraph"/>
        <w:numPr>
          <w:ilvl w:val="0"/>
          <w:numId w:val="3"/>
        </w:numPr>
        <w:ind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Deux enquêtes par questionnaire : </w:t>
      </w:r>
    </w:p>
    <w:p w14:paraId="6E15FF9B" w14:textId="58B3BD35" w:rsidR="64DAE68E" w:rsidRPr="00F90138" w:rsidRDefault="64DAE68E" w:rsidP="003B6983">
      <w:pPr>
        <w:numPr>
          <w:ilvl w:val="0"/>
          <w:numId w:val="8"/>
        </w:numPr>
        <w:ind w:hanging="357"/>
        <w:jc w:val="both"/>
        <w:rPr>
          <w:rFonts w:ascii="Calibri" w:eastAsia="Calibri" w:hAnsi="Calibri" w:cs="Calibri"/>
        </w:rPr>
      </w:pPr>
      <w:proofErr w:type="gramStart"/>
      <w:r w:rsidRPr="00782485">
        <w:rPr>
          <w:rFonts w:ascii="Calibri" w:eastAsia="Calibri" w:hAnsi="Calibri" w:cs="Calibri"/>
          <w:sz w:val="22"/>
          <w:szCs w:val="22"/>
        </w:rPr>
        <w:t>auprès</w:t>
      </w:r>
      <w:proofErr w:type="gramEnd"/>
      <w:r w:rsidRPr="00782485">
        <w:rPr>
          <w:rFonts w:ascii="Calibri" w:eastAsia="Calibri" w:hAnsi="Calibri" w:cs="Calibri"/>
          <w:sz w:val="22"/>
          <w:szCs w:val="22"/>
        </w:rPr>
        <w:t xml:space="preserve"> d’un échantillon représentatif d’employeurs, de start-ups, d’incubateurs, d’entreprises de divers secteurs économiques et d’institutions publiques</w:t>
      </w:r>
      <w:r w:rsidR="003B6983">
        <w:rPr>
          <w:rFonts w:ascii="Calibri" w:eastAsia="Calibri" w:hAnsi="Calibri" w:cs="Calibri"/>
          <w:sz w:val="22"/>
          <w:szCs w:val="22"/>
        </w:rPr>
        <w:t> ;</w:t>
      </w:r>
    </w:p>
    <w:p w14:paraId="04BF8F46" w14:textId="12F12D07" w:rsidR="00C91C0C" w:rsidRPr="00F73483" w:rsidRDefault="00C91C0C" w:rsidP="003B6983">
      <w:pPr>
        <w:numPr>
          <w:ilvl w:val="0"/>
          <w:numId w:val="8"/>
        </w:numPr>
        <w:ind w:hanging="357"/>
        <w:jc w:val="both"/>
        <w:rPr>
          <w:rFonts w:ascii="Calibri" w:eastAsia="Calibri" w:hAnsi="Calibri" w:cs="Calibri"/>
        </w:rPr>
      </w:pPr>
      <w:proofErr w:type="gramStart"/>
      <w:r w:rsidRPr="00F73483">
        <w:rPr>
          <w:rFonts w:ascii="Calibri" w:eastAsia="Calibri" w:hAnsi="Calibri" w:cs="Calibri"/>
          <w:sz w:val="22"/>
          <w:szCs w:val="22"/>
        </w:rPr>
        <w:t>aupr</w:t>
      </w:r>
      <w:r w:rsidRPr="00F73483">
        <w:rPr>
          <w:rFonts w:ascii="Calibri" w:eastAsia="Calibri" w:hAnsi="Calibri" w:cs="Calibri" w:hint="eastAsia"/>
          <w:sz w:val="22"/>
          <w:szCs w:val="22"/>
        </w:rPr>
        <w:t>è</w:t>
      </w:r>
      <w:r w:rsidRPr="00F73483">
        <w:rPr>
          <w:rFonts w:ascii="Calibri" w:eastAsia="Calibri" w:hAnsi="Calibri" w:cs="Calibri"/>
          <w:sz w:val="22"/>
          <w:szCs w:val="22"/>
        </w:rPr>
        <w:t>s</w:t>
      </w:r>
      <w:proofErr w:type="gramEnd"/>
      <w:r w:rsidRPr="00F73483">
        <w:rPr>
          <w:rFonts w:ascii="Calibri" w:eastAsia="Calibri" w:hAnsi="Calibri" w:cs="Calibri"/>
          <w:sz w:val="22"/>
          <w:szCs w:val="22"/>
        </w:rPr>
        <w:t xml:space="preserve"> d</w:t>
      </w:r>
      <w:r w:rsidR="00153625" w:rsidRPr="00F73483">
        <w:rPr>
          <w:rFonts w:ascii="Calibri" w:eastAsia="Calibri" w:hAnsi="Calibri" w:cs="Calibri"/>
          <w:sz w:val="22"/>
          <w:szCs w:val="22"/>
        </w:rPr>
        <w:t xml:space="preserve">es 12 </w:t>
      </w:r>
      <w:r w:rsidRPr="00F73483">
        <w:rPr>
          <w:rFonts w:ascii="Calibri" w:eastAsia="Calibri" w:hAnsi="Calibri" w:cs="Calibri"/>
          <w:sz w:val="22"/>
          <w:szCs w:val="22"/>
        </w:rPr>
        <w:t>universit</w:t>
      </w:r>
      <w:r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Pr="00F73483">
        <w:rPr>
          <w:rFonts w:ascii="Calibri" w:eastAsia="Calibri" w:hAnsi="Calibri" w:cs="Calibri"/>
          <w:sz w:val="22"/>
          <w:szCs w:val="22"/>
        </w:rPr>
        <w:t>s</w:t>
      </w:r>
      <w:r w:rsidR="00153625" w:rsidRPr="00F73483">
        <w:rPr>
          <w:rFonts w:ascii="Calibri" w:eastAsia="Calibri" w:hAnsi="Calibri" w:cs="Calibri"/>
          <w:sz w:val="22"/>
          <w:szCs w:val="22"/>
        </w:rPr>
        <w:t xml:space="preserve"> b</w:t>
      </w:r>
      <w:r w:rsidR="00153625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153625" w:rsidRPr="00F73483">
        <w:rPr>
          <w:rFonts w:ascii="Calibri" w:eastAsia="Calibri" w:hAnsi="Calibri" w:cs="Calibri"/>
          <w:sz w:val="22"/>
          <w:szCs w:val="22"/>
        </w:rPr>
        <w:t>n</w:t>
      </w:r>
      <w:r w:rsidR="00153625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153625" w:rsidRPr="00F73483">
        <w:rPr>
          <w:rFonts w:ascii="Calibri" w:eastAsia="Calibri" w:hAnsi="Calibri" w:cs="Calibri"/>
          <w:sz w:val="22"/>
          <w:szCs w:val="22"/>
        </w:rPr>
        <w:t>ficiaires du projet</w:t>
      </w:r>
      <w:r w:rsidR="00EA15EB">
        <w:rPr>
          <w:rFonts w:ascii="Calibri" w:eastAsia="Calibri" w:hAnsi="Calibri" w:cs="Calibri"/>
          <w:sz w:val="22"/>
          <w:szCs w:val="22"/>
        </w:rPr>
        <w:t>,</w:t>
      </w:r>
      <w:r w:rsidRPr="00F73483">
        <w:rPr>
          <w:rFonts w:ascii="Calibri" w:eastAsia="Calibri" w:hAnsi="Calibri" w:cs="Calibri"/>
          <w:sz w:val="22"/>
          <w:szCs w:val="22"/>
        </w:rPr>
        <w:t xml:space="preserve"> pour </w:t>
      </w:r>
      <w:r w:rsidR="00C96D67" w:rsidRPr="00F73483">
        <w:rPr>
          <w:rFonts w:ascii="Calibri" w:eastAsia="Calibri" w:hAnsi="Calibri" w:cs="Calibri"/>
          <w:sz w:val="22"/>
          <w:szCs w:val="22"/>
        </w:rPr>
        <w:t xml:space="preserve">identifier le cas 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C96D67" w:rsidRPr="00F73483">
        <w:rPr>
          <w:rFonts w:ascii="Calibri" w:eastAsia="Calibri" w:hAnsi="Calibri" w:cs="Calibri"/>
          <w:sz w:val="22"/>
          <w:szCs w:val="22"/>
        </w:rPr>
        <w:t>ch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C96D67" w:rsidRPr="00F73483">
        <w:rPr>
          <w:rFonts w:ascii="Calibri" w:eastAsia="Calibri" w:hAnsi="Calibri" w:cs="Calibri"/>
          <w:sz w:val="22"/>
          <w:szCs w:val="22"/>
        </w:rPr>
        <w:t>ant quelles comp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C96D67" w:rsidRPr="00F73483">
        <w:rPr>
          <w:rFonts w:ascii="Calibri" w:eastAsia="Calibri" w:hAnsi="Calibri" w:cs="Calibri"/>
          <w:sz w:val="22"/>
          <w:szCs w:val="22"/>
        </w:rPr>
        <w:t>tences li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C96D67" w:rsidRPr="00F73483">
        <w:rPr>
          <w:rFonts w:ascii="Calibri" w:eastAsia="Calibri" w:hAnsi="Calibri" w:cs="Calibri"/>
          <w:sz w:val="22"/>
          <w:szCs w:val="22"/>
        </w:rPr>
        <w:t xml:space="preserve">es 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à</w:t>
      </w:r>
      <w:r w:rsidR="00C96D67" w:rsidRPr="00F73483">
        <w:rPr>
          <w:rFonts w:ascii="Calibri" w:eastAsia="Calibri" w:hAnsi="Calibri" w:cs="Calibri"/>
          <w:sz w:val="22"/>
          <w:szCs w:val="22"/>
        </w:rPr>
        <w:t xml:space="preserve"> l</w:t>
      </w:r>
      <w:r w:rsidR="00EA15EB">
        <w:rPr>
          <w:rFonts w:ascii="Calibri" w:eastAsia="Calibri" w:hAnsi="Calibri" w:cs="Calibri"/>
          <w:sz w:val="22"/>
          <w:szCs w:val="22"/>
        </w:rPr>
        <w:t>’</w:t>
      </w:r>
      <w:r w:rsidR="00C96D67" w:rsidRPr="00F73483">
        <w:rPr>
          <w:rFonts w:ascii="Calibri" w:eastAsia="Calibri" w:hAnsi="Calibri" w:cs="Calibri"/>
          <w:sz w:val="22"/>
          <w:szCs w:val="22"/>
        </w:rPr>
        <w:t>IA sont d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é</w:t>
      </w:r>
      <w:r w:rsidR="00C96D67" w:rsidRPr="00F73483">
        <w:rPr>
          <w:rFonts w:ascii="Calibri" w:eastAsia="Calibri" w:hAnsi="Calibri" w:cs="Calibri"/>
          <w:sz w:val="22"/>
          <w:szCs w:val="22"/>
        </w:rPr>
        <w:t>j</w:t>
      </w:r>
      <w:r w:rsidR="00C96D67" w:rsidRPr="00F73483">
        <w:rPr>
          <w:rFonts w:ascii="Calibri" w:eastAsia="Calibri" w:hAnsi="Calibri" w:cs="Calibri" w:hint="eastAsia"/>
          <w:sz w:val="22"/>
          <w:szCs w:val="22"/>
        </w:rPr>
        <w:t>à</w:t>
      </w:r>
      <w:r w:rsidR="00C96D67" w:rsidRPr="00F73483">
        <w:rPr>
          <w:rFonts w:ascii="Calibri" w:eastAsia="Calibri" w:hAnsi="Calibri" w:cs="Calibri"/>
          <w:sz w:val="22"/>
          <w:szCs w:val="22"/>
        </w:rPr>
        <w:t xml:space="preserve"> prises en compte dans les cursus. </w:t>
      </w:r>
    </w:p>
    <w:p w14:paraId="3B8AAD1E" w14:textId="6C08A061" w:rsidR="64DAE68E" w:rsidRPr="00782485" w:rsidRDefault="64DAE68E" w:rsidP="00F73483">
      <w:pPr>
        <w:pStyle w:val="ListParagraph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 w:rsidRPr="00782485">
        <w:rPr>
          <w:rFonts w:ascii="Calibri" w:eastAsia="Calibri" w:hAnsi="Calibri" w:cs="Calibri"/>
          <w:sz w:val="22"/>
          <w:szCs w:val="22"/>
        </w:rPr>
        <w:t>Des entretiens semi-directifs avec des experts, des enseignants universitaires, des représentants d’employeurs, ainsi que des étudiants et jeunes diplômés, afin de recueillir leurs perceptions sur l’évolution des professions concernées.</w:t>
      </w:r>
    </w:p>
    <w:p w14:paraId="5FDB2F13" w14:textId="03E2F13C" w:rsidR="64DAE68E" w:rsidRPr="00782485" w:rsidRDefault="64DAE68E" w:rsidP="00F73483">
      <w:pPr>
        <w:pStyle w:val="ListParagraph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 w:rsidRPr="00782485">
        <w:rPr>
          <w:rFonts w:ascii="Calibri" w:eastAsia="Calibri" w:hAnsi="Calibri" w:cs="Calibri"/>
          <w:sz w:val="22"/>
          <w:szCs w:val="22"/>
        </w:rPr>
        <w:t>La réalisation d’études de cas dans les trois pays pour illustrer concrètement l’impact de l’IA générative sur différents secteurs professionnels.</w:t>
      </w:r>
    </w:p>
    <w:p w14:paraId="19B3EB84" w14:textId="388AF8E7" w:rsidR="64DAE68E" w:rsidRPr="00C91B5F" w:rsidRDefault="64DAE68E" w:rsidP="00F73483">
      <w:pPr>
        <w:pStyle w:val="ListParagraph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 w:rsidRPr="00782485">
        <w:rPr>
          <w:rFonts w:ascii="Calibri" w:eastAsia="Calibri" w:hAnsi="Calibri" w:cs="Calibri"/>
          <w:sz w:val="22"/>
          <w:szCs w:val="22"/>
        </w:rPr>
        <w:t>Une analyse comparative des résultats entre l’Égypte</w:t>
      </w:r>
      <w:r w:rsidR="00071560">
        <w:rPr>
          <w:rFonts w:ascii="Calibri" w:eastAsia="Calibri" w:hAnsi="Calibri" w:cs="Calibri"/>
          <w:sz w:val="22"/>
          <w:szCs w:val="22"/>
        </w:rPr>
        <w:t xml:space="preserve">, </w:t>
      </w:r>
      <w:r w:rsidR="00071560" w:rsidRPr="00782485">
        <w:rPr>
          <w:rFonts w:ascii="Calibri" w:eastAsia="Calibri" w:hAnsi="Calibri" w:cs="Calibri"/>
          <w:sz w:val="22"/>
          <w:szCs w:val="22"/>
        </w:rPr>
        <w:t>le Liban</w:t>
      </w:r>
      <w:r w:rsidRPr="00782485">
        <w:rPr>
          <w:rFonts w:ascii="Calibri" w:eastAsia="Calibri" w:hAnsi="Calibri" w:cs="Calibri"/>
          <w:sz w:val="22"/>
          <w:szCs w:val="22"/>
        </w:rPr>
        <w:t xml:space="preserve"> et la Palestine, permettant d’identifier à la fois les convergences régionales et les spécificités nationales.</w:t>
      </w:r>
    </w:p>
    <w:p w14:paraId="025C1282" w14:textId="3C45948D" w:rsidR="00C91B5F" w:rsidRPr="00E706D7" w:rsidRDefault="006870E1" w:rsidP="00F7348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Une</w:t>
      </w:r>
      <w:r w:rsidR="00C91B5F" w:rsidRPr="3CFACE86">
        <w:rPr>
          <w:rFonts w:ascii="Calibri" w:eastAsia="Calibri" w:hAnsi="Calibri" w:cs="Calibri"/>
          <w:sz w:val="22"/>
          <w:szCs w:val="22"/>
        </w:rPr>
        <w:t xml:space="preserve"> documen</w:t>
      </w:r>
      <w:r>
        <w:rPr>
          <w:rFonts w:ascii="Calibri" w:eastAsia="Calibri" w:hAnsi="Calibri" w:cs="Calibri"/>
          <w:sz w:val="22"/>
          <w:szCs w:val="22"/>
        </w:rPr>
        <w:t>tation</w:t>
      </w:r>
      <w:r w:rsidR="00C91B5F" w:rsidRPr="3CFACE86">
        <w:rPr>
          <w:rFonts w:ascii="Calibri" w:eastAsia="Calibri" w:hAnsi="Calibri" w:cs="Calibri"/>
          <w:sz w:val="22"/>
          <w:szCs w:val="22"/>
        </w:rPr>
        <w:t xml:space="preserve"> relati</w:t>
      </w:r>
      <w:r>
        <w:rPr>
          <w:rFonts w:ascii="Calibri" w:eastAsia="Calibri" w:hAnsi="Calibri" w:cs="Calibri"/>
          <w:sz w:val="22"/>
          <w:szCs w:val="22"/>
        </w:rPr>
        <w:t>ve</w:t>
      </w:r>
      <w:r w:rsidR="00C91B5F" w:rsidRPr="3CFACE86">
        <w:rPr>
          <w:rFonts w:ascii="Calibri" w:eastAsia="Calibri" w:hAnsi="Calibri" w:cs="Calibri"/>
          <w:sz w:val="22"/>
          <w:szCs w:val="22"/>
        </w:rPr>
        <w:t xml:space="preserve"> au projet « </w:t>
      </w:r>
      <w:r w:rsidR="00C91B5F" w:rsidRPr="004D3E5C">
        <w:rPr>
          <w:rFonts w:ascii="Calibri" w:eastAsia="Calibri" w:hAnsi="Calibri" w:cs="Calibri"/>
          <w:i/>
          <w:iCs/>
          <w:sz w:val="22"/>
          <w:szCs w:val="22"/>
        </w:rPr>
        <w:t>Soutien à l’intégration de l’intelligence artificielle dans l’enseignement supérieur au Moyen-Orient</w:t>
      </w:r>
      <w:r w:rsidR="00C91B5F" w:rsidRPr="3CFACE86">
        <w:rPr>
          <w:rFonts w:ascii="Calibri" w:eastAsia="Calibri" w:hAnsi="Calibri" w:cs="Calibri"/>
          <w:sz w:val="22"/>
          <w:szCs w:val="22"/>
        </w:rPr>
        <w:t> » ser</w:t>
      </w:r>
      <w:r>
        <w:rPr>
          <w:rFonts w:ascii="Calibri" w:eastAsia="Calibri" w:hAnsi="Calibri" w:cs="Calibri"/>
          <w:sz w:val="22"/>
          <w:szCs w:val="22"/>
        </w:rPr>
        <w:t>a</w:t>
      </w:r>
      <w:r w:rsidR="00C91B5F" w:rsidRPr="3CFACE86">
        <w:rPr>
          <w:rFonts w:ascii="Calibri" w:eastAsia="Calibri" w:hAnsi="Calibri" w:cs="Calibri"/>
          <w:sz w:val="22"/>
          <w:szCs w:val="22"/>
        </w:rPr>
        <w:t xml:space="preserve"> communiqué</w:t>
      </w:r>
      <w:r>
        <w:rPr>
          <w:rFonts w:ascii="Calibri" w:eastAsia="Calibri" w:hAnsi="Calibri" w:cs="Calibri"/>
          <w:sz w:val="22"/>
          <w:szCs w:val="22"/>
        </w:rPr>
        <w:t>e</w:t>
      </w:r>
      <w:r w:rsidR="00C91B5F" w:rsidRPr="3CFACE86">
        <w:rPr>
          <w:rFonts w:ascii="Calibri" w:eastAsia="Calibri" w:hAnsi="Calibri" w:cs="Calibri"/>
          <w:sz w:val="22"/>
          <w:szCs w:val="22"/>
        </w:rPr>
        <w:t xml:space="preserve"> au prestataire.</w:t>
      </w:r>
    </w:p>
    <w:p w14:paraId="3BF2B5B5" w14:textId="77777777" w:rsidR="00F73483" w:rsidRDefault="00F73483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4C1247F1" w14:textId="17CA0371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4. Livrables attendus</w:t>
      </w:r>
    </w:p>
    <w:p w14:paraId="745EB5A6" w14:textId="77777777" w:rsidR="005514DB" w:rsidRPr="005514DB" w:rsidRDefault="005514DB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Le prestataire devra produire :</w:t>
      </w:r>
    </w:p>
    <w:p w14:paraId="706B9DFC" w14:textId="5E18FD0A" w:rsidR="005514DB" w:rsidRPr="005514DB" w:rsidRDefault="005514DB" w:rsidP="004354B0">
      <w:pPr>
        <w:numPr>
          <w:ilvl w:val="0"/>
          <w:numId w:val="4"/>
        </w:numPr>
        <w:spacing w:after="120"/>
        <w:ind w:left="714" w:hanging="357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note méthodologique </w:t>
      </w:r>
      <w:r w:rsidR="00C96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préalablement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validée par l’AUF</w:t>
      </w:r>
      <w:r w:rsidR="00C96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avant la mise en </w:t>
      </w:r>
      <w:r w:rsidR="00A064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œuvre</w:t>
      </w:r>
      <w:r w:rsidR="005D37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de la prestation</w:t>
      </w:r>
      <w:r w:rsidR="008E2EE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avec proposition de contenus du rapport final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6B98AFF9" w14:textId="77777777" w:rsidR="005514DB" w:rsidRPr="005514DB" w:rsidRDefault="005514DB" w:rsidP="004354B0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 rapport intermédiaire de l’étude (version provisoire).</w:t>
      </w:r>
    </w:p>
    <w:p w14:paraId="5BA3E528" w14:textId="77777777" w:rsidR="005514DB" w:rsidRPr="005514DB" w:rsidRDefault="005514DB" w:rsidP="004354B0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 </w:t>
      </w:r>
      <w:r w:rsidRPr="002A147E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rapport final complet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incluant :</w:t>
      </w:r>
    </w:p>
    <w:p w14:paraId="2EB21928" w14:textId="49902F88" w:rsidR="00E045F8" w:rsidRPr="00E706D7" w:rsidRDefault="00E045F8" w:rsidP="00E045F8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4D3E5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Une revue succincte de la littérature sur les tendances internationales et régionales relatives aux nouvelles compétences attendues dans les professions les plus transformées par l’irruption des outils d’IA générative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;</w:t>
      </w:r>
    </w:p>
    <w:p w14:paraId="5B0AA81E" w14:textId="77777777" w:rsidR="00E045F8" w:rsidRPr="00E706D7" w:rsidRDefault="00E045F8" w:rsidP="00E045F8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Une identification des secteurs professionnels prépondérants en termes de génération d’emploi sur le marché du travail formel en Égypte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au Liban et en Palestine ;</w:t>
      </w:r>
    </w:p>
    <w:p w14:paraId="523CDB9C" w14:textId="7A45249B" w:rsidR="00CF1710" w:rsidRPr="005514DB" w:rsidRDefault="00CF1710" w:rsidP="004354B0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Parmi ceux-ci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u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ne analyse prospective des métiers en </w:t>
      </w:r>
      <w:r w:rsidR="00DD6911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profonde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transformation ou en émergence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DD6911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ou en extinction </w:t>
      </w:r>
      <w:r w:rsidR="00CD1F1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sous l’effet du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développement de l’IA </w:t>
      </w:r>
      <w:r w:rsidR="002A682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générative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;</w:t>
      </w:r>
    </w:p>
    <w:p w14:paraId="0B374E42" w14:textId="784D765B" w:rsidR="005514DB" w:rsidRPr="006B67A6" w:rsidRDefault="00C158C3" w:rsidP="004354B0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Pour chaque métier ou par groupe de métiers</w:t>
      </w:r>
      <w:r w:rsidR="004D1E1A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en transformation ou en émergence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u</w:t>
      </w:r>
      <w:r w:rsidR="005514DB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ne cartographie 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détaillée </w:t>
      </w:r>
      <w:r w:rsidR="005514DB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des compétences clés </w:t>
      </w:r>
      <w:r w:rsidR="00243966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des </w:t>
      </w:r>
      <w:r w:rsidR="00C30F2B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nouveaux </w:t>
      </w:r>
      <w:r w:rsidR="00243966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outils métiers</w:t>
      </w:r>
      <w:r w:rsidR="00C30F2B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liés à l’</w:t>
      </w:r>
      <w:r w:rsidR="005514DB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IA </w:t>
      </w:r>
      <w:r w:rsidR="002E3A4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générative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si besoin</w:t>
      </w:r>
      <w:r w:rsidR="006B67A6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différente </w:t>
      </w:r>
      <w:r w:rsidR="005514DB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dans </w:t>
      </w:r>
      <w:r w:rsidR="002E3A4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les 3 pays de </w:t>
      </w:r>
      <w:r w:rsidR="005514DB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la région</w:t>
      </w:r>
      <w:r w:rsidR="006B67A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="006B67A6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sous forme de </w:t>
      </w:r>
      <w:r w:rsidR="228F8C75" w:rsidRPr="3CFACE86">
        <w:rPr>
          <w:rFonts w:ascii="Calibri" w:eastAsia="Times New Roman" w:hAnsi="Calibri" w:cs="Calibri"/>
          <w:sz w:val="22"/>
          <w:szCs w:val="22"/>
          <w:lang w:eastAsia="en-GB"/>
        </w:rPr>
        <w:t>référentiel contextualisé de compétences</w:t>
      </w:r>
      <w:r w:rsidR="006B67A6" w:rsidRPr="3CFACE8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1198C470" w:rsidRPr="3CFACE86">
        <w:rPr>
          <w:rFonts w:ascii="Calibri" w:eastAsia="Times New Roman" w:hAnsi="Calibri" w:cs="Calibri"/>
          <w:sz w:val="22"/>
          <w:szCs w:val="22"/>
          <w:lang w:eastAsia="en-GB"/>
        </w:rPr>
        <w:t>;</w:t>
      </w:r>
    </w:p>
    <w:p w14:paraId="63C1E5F5" w14:textId="7298653F" w:rsidR="005514DB" w:rsidRDefault="005514DB" w:rsidP="004354B0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Des recommandations opérationnelles 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pour les universités</w:t>
      </w:r>
      <w:r w:rsidR="0017436E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  <w:r w:rsidR="00C30F2B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en vue de</w:t>
      </w:r>
      <w:r w:rsidR="003627C2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modifier, aménager ou </w:t>
      </w:r>
      <w:r w:rsidR="004F74D3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transformer radicalement certains cursus </w:t>
      </w:r>
      <w:r w:rsidR="0017436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;</w:t>
      </w:r>
    </w:p>
    <w:p w14:paraId="3B6F1332" w14:textId="425A9AA2" w:rsidR="00FC7A56" w:rsidRDefault="00FC7A56" w:rsidP="00206E8A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 xml:space="preserve">Une synthèse </w:t>
      </w:r>
      <w:r w:rsidR="00FB0D05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générale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par pays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</w:t>
      </w:r>
      <w:r w:rsidR="0007156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et une </w:t>
      </w:r>
      <w:r w:rsidR="00071560" w:rsidRPr="00782485">
        <w:rPr>
          <w:rFonts w:ascii="Calibri" w:eastAsia="Calibri" w:hAnsi="Calibri" w:cs="Calibri"/>
          <w:sz w:val="22"/>
          <w:szCs w:val="22"/>
        </w:rPr>
        <w:t>analyse comparative des résultats entre l’Égypte</w:t>
      </w:r>
      <w:r w:rsidR="00071560">
        <w:rPr>
          <w:rFonts w:ascii="Calibri" w:eastAsia="Calibri" w:hAnsi="Calibri" w:cs="Calibri"/>
          <w:sz w:val="22"/>
          <w:szCs w:val="22"/>
        </w:rPr>
        <w:t xml:space="preserve">, </w:t>
      </w:r>
      <w:r w:rsidR="00071560" w:rsidRPr="00782485">
        <w:rPr>
          <w:rFonts w:ascii="Calibri" w:eastAsia="Calibri" w:hAnsi="Calibri" w:cs="Calibri"/>
          <w:sz w:val="22"/>
          <w:szCs w:val="22"/>
        </w:rPr>
        <w:t>le Liban et la Palestine</w:t>
      </w:r>
      <w:r w:rsidR="0007156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;</w:t>
      </w:r>
    </w:p>
    <w:p w14:paraId="708EE9CC" w14:textId="3022327E" w:rsidR="0017436E" w:rsidRPr="00E706D7" w:rsidRDefault="00E706D7" w:rsidP="00206E8A">
      <w:pPr>
        <w:numPr>
          <w:ilvl w:val="1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Tout a</w:t>
      </w:r>
      <w:r w:rsidR="0017436E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utre point pertinent au regard des objectifs de l’étude et du projet. </w:t>
      </w:r>
    </w:p>
    <w:p w14:paraId="209FD9BF" w14:textId="505DE1B4" w:rsidR="005514DB" w:rsidRDefault="005514DB" w:rsidP="00206E8A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présentation synthétique (PowerPoint) </w:t>
      </w:r>
      <w:r w:rsidR="00287986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versions française et anglaise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pour diffusion institutionnelle</w:t>
      </w:r>
      <w:r w:rsidR="0039137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29B7B8D9" w14:textId="0CDD9F68" w:rsidR="00391377" w:rsidRPr="005514DB" w:rsidRDefault="00391377" w:rsidP="00206E8A">
      <w:p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outre, le prestataire devra se rendre disponible </w:t>
      </w:r>
      <w:r w:rsidR="00B0636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2026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pour :</w:t>
      </w:r>
    </w:p>
    <w:p w14:paraId="2F7143E3" w14:textId="56D56B0D" w:rsidR="005514DB" w:rsidRDefault="005514DB" w:rsidP="00206E8A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restitution orale </w:t>
      </w:r>
      <w:r w:rsidR="005E01F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</w:t>
      </w:r>
      <w:r w:rsidR="005E01F8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français ou anglais</w:t>
      </w:r>
      <w:r w:rsidR="005E01F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) </w:t>
      </w:r>
      <w:r w:rsidR="0039137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ligne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devant </w:t>
      </w:r>
      <w:r w:rsidR="00B0636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le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comité de pilotage </w:t>
      </w:r>
      <w:r w:rsidR="00B0636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du projet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75E38AE3" w14:textId="4FA13C47" w:rsidR="00D37DB6" w:rsidRPr="00D37DB6" w:rsidRDefault="00D37DB6" w:rsidP="00206E8A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participation en ligne ou en présentiel à 3 ateliers nationaux </w:t>
      </w:r>
      <w:r w:rsidRPr="00D37DB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(Égypte, Liban et Palestine)</w:t>
      </w:r>
      <w:r w:rsidR="00AB0D5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consacrés à la rénovation des cursus</w:t>
      </w:r>
      <w:r w:rsidR="00B0636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AB0D5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sur la base des </w:t>
      </w:r>
      <w:r w:rsidR="008109C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résultats produits par l’étude, les frais éventuels de déplacement étant </w:t>
      </w:r>
      <w:r w:rsidR="00681AB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pris</w:t>
      </w:r>
      <w:r w:rsidR="008109C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par en charge par l’AUF.</w:t>
      </w:r>
    </w:p>
    <w:p w14:paraId="6234BB4F" w14:textId="13A3283F" w:rsidR="00391377" w:rsidRPr="005514DB" w:rsidRDefault="00E10E26" w:rsidP="00206E8A">
      <w:pPr>
        <w:numPr>
          <w:ilvl w:val="0"/>
          <w:numId w:val="4"/>
        </w:numPr>
        <w:spacing w:after="12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participation </w:t>
      </w:r>
      <w:r w:rsidR="0085247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présentiel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à un colloque (Beyrouth, juillet 2026), les frais éventuels de déplacement étant </w:t>
      </w:r>
      <w:r w:rsidR="00681AB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pris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en charge par l’AUF.</w:t>
      </w:r>
    </w:p>
    <w:p w14:paraId="27462A97" w14:textId="7C3D4B6B" w:rsidR="005514DB" w:rsidRPr="00287986" w:rsidRDefault="006B33D6" w:rsidP="00681AB0">
      <w:pPr>
        <w:spacing w:after="24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 rapport </w:t>
      </w:r>
      <w:r w:rsidR="00016B27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final </w:t>
      </w:r>
      <w:r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sera élaboré en </w:t>
      </w:r>
      <w:r w:rsidR="00016B27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version française et anglaise avec un résumé exécutif </w:t>
      </w:r>
      <w:r w:rsidR="00E41B4B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français, en anglais et </w:t>
      </w:r>
      <w:r w:rsidR="00016B27" w:rsidRPr="3CFACE8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 arabe.  </w:t>
      </w:r>
    </w:p>
    <w:p w14:paraId="49DCB580" w14:textId="77777777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5. Profil du prestataire recherché</w:t>
      </w:r>
    </w:p>
    <w:p w14:paraId="332BD6C1" w14:textId="6AAE8968" w:rsidR="005514DB" w:rsidRPr="005514DB" w:rsidRDefault="4C25276B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133A08D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Le prestataire peut être un cabinet d’études</w:t>
      </w:r>
      <w:r w:rsidR="18EE0C95" w:rsidRPr="133A08D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ou </w:t>
      </w:r>
      <w:r w:rsidRPr="133A08D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structure de conseil </w:t>
      </w:r>
      <w:r w:rsidR="00681AB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ou d’expertise </w:t>
      </w:r>
      <w:r w:rsidRPr="133A08D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et devra justifier :</w:t>
      </w:r>
    </w:p>
    <w:p w14:paraId="33DA6921" w14:textId="57034F42" w:rsidR="005514DB" w:rsidRPr="005514DB" w:rsidRDefault="005514DB" w:rsidP="00681AB0">
      <w:pPr>
        <w:numPr>
          <w:ilvl w:val="0"/>
          <w:numId w:val="5"/>
        </w:numPr>
        <w:ind w:left="714" w:hanging="357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D’une expérience avérée en études prospectives </w:t>
      </w:r>
      <w:r w:rsidR="00AA212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et/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ou d’analyse de besoins en compétences</w:t>
      </w:r>
      <w:r w:rsidR="003D50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;</w:t>
      </w:r>
    </w:p>
    <w:p w14:paraId="5CFFE79C" w14:textId="1F69811A" w:rsidR="005514DB" w:rsidRPr="005514DB" w:rsidRDefault="005514DB" w:rsidP="00681AB0">
      <w:pPr>
        <w:numPr>
          <w:ilvl w:val="0"/>
          <w:numId w:val="5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D’une expertise en intelligence artificielle</w:t>
      </w:r>
      <w:r w:rsidR="359728F7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359728F7" w:rsidRPr="0069492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générative </w:t>
      </w:r>
      <w:r w:rsidR="359728F7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et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en transformation numérique</w:t>
      </w:r>
      <w:r w:rsidR="003D50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;</w:t>
      </w:r>
    </w:p>
    <w:p w14:paraId="60653698" w14:textId="0AD3D1DF" w:rsidR="005514DB" w:rsidRPr="005514DB" w:rsidRDefault="005514DB" w:rsidP="00681AB0">
      <w:pPr>
        <w:numPr>
          <w:ilvl w:val="0"/>
          <w:numId w:val="5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D’une capacité à travailler dans des contextes multiculturels et multi-pays</w:t>
      </w:r>
      <w:r w:rsidR="003D50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;</w:t>
      </w:r>
    </w:p>
    <w:p w14:paraId="25EC46C7" w14:textId="686B68DA" w:rsidR="005514DB" w:rsidRPr="007D01E0" w:rsidRDefault="4C25276B" w:rsidP="00681AB0">
      <w:pPr>
        <w:numPr>
          <w:ilvl w:val="0"/>
          <w:numId w:val="5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 la connaissance des écosystèmes universitaires et économiques de l’Égypte</w:t>
      </w:r>
      <w:r w:rsidR="009C51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="009C51BA"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du Liban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et</w:t>
      </w:r>
      <w:r w:rsidR="1A2ADFC8"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7D01E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 la Palestine</w:t>
      </w:r>
      <w:r w:rsidR="003D508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;</w:t>
      </w:r>
    </w:p>
    <w:p w14:paraId="746406CC" w14:textId="01C2E2EE" w:rsidR="005514DB" w:rsidRDefault="005514DB" w:rsidP="00681AB0">
      <w:pPr>
        <w:numPr>
          <w:ilvl w:val="0"/>
          <w:numId w:val="5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</w:t>
      </w:r>
      <w:r w:rsidR="00B23E9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 compétences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pluridisciplinaire</w:t>
      </w:r>
      <w:r w:rsidR="00B23E9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(analyse de données, </w:t>
      </w:r>
      <w:r w:rsidR="009C51B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enseignement supérieur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IA</w:t>
      </w:r>
      <w:r w:rsidR="6C3A7CFF"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générative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économie du travail, etc.)</w:t>
      </w:r>
      <w:r w:rsidR="00B271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;</w:t>
      </w:r>
    </w:p>
    <w:p w14:paraId="4D8092DF" w14:textId="638DED2B" w:rsidR="00956600" w:rsidRPr="005514DB" w:rsidRDefault="00956600" w:rsidP="00681AB0">
      <w:pPr>
        <w:numPr>
          <w:ilvl w:val="0"/>
          <w:numId w:val="5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 la capacité à travailler dans les 3 langues (français, anglais, arabe).</w:t>
      </w:r>
    </w:p>
    <w:p w14:paraId="550BD68A" w14:textId="77777777" w:rsidR="00F73483" w:rsidRDefault="00F73483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261F73C8" w14:textId="17DA96F4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6. Durée</w:t>
      </w:r>
      <w:r w:rsidR="0176FFF8"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, </w:t>
      </w:r>
      <w:r w:rsidR="00591DAE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b</w:t>
      </w:r>
      <w:r w:rsidR="0176FFF8"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udget</w:t>
      </w: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et calendrier indicatif</w:t>
      </w:r>
    </w:p>
    <w:p w14:paraId="1FA979F4" w14:textId="77777777" w:rsidR="005514DB" w:rsidRDefault="005514DB" w:rsidP="00A4461D">
      <w:pPr>
        <w:numPr>
          <w:ilvl w:val="0"/>
          <w:numId w:val="6"/>
        </w:numPr>
        <w:spacing w:after="120"/>
        <w:ind w:left="714" w:hanging="357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Durée totale : 4 mois à compter de la date de signature du contrat.</w:t>
      </w:r>
    </w:p>
    <w:p w14:paraId="7B780F2B" w14:textId="01C0D6C5" w:rsidR="3E63B66A" w:rsidRDefault="3E63B66A" w:rsidP="00A4461D">
      <w:pPr>
        <w:numPr>
          <w:ilvl w:val="0"/>
          <w:numId w:val="6"/>
        </w:numPr>
        <w:spacing w:after="120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F73483">
        <w:rPr>
          <w:rFonts w:ascii="Calibri" w:eastAsia="Times New Roman" w:hAnsi="Calibri" w:cs="Calibri"/>
          <w:sz w:val="22"/>
          <w:szCs w:val="22"/>
          <w:lang w:eastAsia="en-GB"/>
        </w:rPr>
        <w:t xml:space="preserve">La proposition financière devra obligatoirement se situer dans une </w:t>
      </w:r>
      <w:r w:rsidRPr="0085247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fourchette comprise entre 22 500 euros et 30 000 euros</w:t>
      </w:r>
      <w:r w:rsidRPr="00F73483">
        <w:rPr>
          <w:rFonts w:ascii="Calibri" w:eastAsia="Times New Roman" w:hAnsi="Calibri" w:cs="Calibri"/>
          <w:sz w:val="22"/>
          <w:szCs w:val="22"/>
          <w:lang w:eastAsia="en-GB"/>
        </w:rPr>
        <w:t>, et comporter une ventilation claire et détaillée du coût (honoraires, frais de mission, logistique et autres dépenses éventuelles).</w:t>
      </w:r>
    </w:p>
    <w:p w14:paraId="43B84541" w14:textId="77777777" w:rsidR="005514DB" w:rsidRPr="005514DB" w:rsidRDefault="005514DB" w:rsidP="00A4461D">
      <w:pPr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 calendrier détaillé devra être proposé dans l’offre technique, incluant les phases de collecte, d’analyse, de rédaction et de restitution.</w:t>
      </w:r>
    </w:p>
    <w:p w14:paraId="1D517787" w14:textId="77777777" w:rsidR="00F73483" w:rsidRDefault="00F73483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7F958DB6" w14:textId="4232436D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7. Critères de sélection</w:t>
      </w:r>
    </w:p>
    <w:p w14:paraId="276A8A09" w14:textId="77777777" w:rsidR="005514DB" w:rsidRPr="005514DB" w:rsidRDefault="005514DB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La sélection du prestataire se fera sur la base des critères suivants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1"/>
        <w:gridCol w:w="1211"/>
      </w:tblGrid>
      <w:tr w:rsidR="005514DB" w:rsidRPr="005514DB" w14:paraId="6EF0953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3E4BF8" w14:textId="77777777" w:rsidR="005514DB" w:rsidRPr="005514DB" w:rsidRDefault="005514DB" w:rsidP="00F7348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Critère</w:t>
            </w:r>
          </w:p>
        </w:tc>
        <w:tc>
          <w:tcPr>
            <w:tcW w:w="0" w:type="auto"/>
            <w:vAlign w:val="center"/>
            <w:hideMark/>
          </w:tcPr>
          <w:p w14:paraId="19F534A0" w14:textId="77777777" w:rsidR="005514DB" w:rsidRPr="005514DB" w:rsidRDefault="005514DB" w:rsidP="00F7348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Pondération</w:t>
            </w:r>
          </w:p>
        </w:tc>
      </w:tr>
      <w:tr w:rsidR="005514DB" w:rsidRPr="005514DB" w14:paraId="4ADD6D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88C69" w14:textId="77777777" w:rsidR="005514DB" w:rsidRPr="005514DB" w:rsidRDefault="005514D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Qualité de l’offre technique et méthodologique</w:t>
            </w:r>
          </w:p>
        </w:tc>
        <w:tc>
          <w:tcPr>
            <w:tcW w:w="0" w:type="auto"/>
            <w:vAlign w:val="center"/>
            <w:hideMark/>
          </w:tcPr>
          <w:p w14:paraId="5D4F6B8A" w14:textId="77777777" w:rsidR="005514DB" w:rsidRPr="005514DB" w:rsidRDefault="005514D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40%</w:t>
            </w:r>
          </w:p>
        </w:tc>
      </w:tr>
      <w:tr w:rsidR="005514DB" w:rsidRPr="005514DB" w14:paraId="688467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88523" w14:textId="7D682AA5" w:rsidR="005514DB" w:rsidRPr="005514DB" w:rsidRDefault="0085247E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Ex</w:t>
            </w:r>
            <w:r w:rsidR="005514DB"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périence et références similaires</w:t>
            </w:r>
          </w:p>
        </w:tc>
        <w:tc>
          <w:tcPr>
            <w:tcW w:w="0" w:type="auto"/>
            <w:vAlign w:val="center"/>
            <w:hideMark/>
          </w:tcPr>
          <w:p w14:paraId="60D86415" w14:textId="58CB1014" w:rsidR="005514DB" w:rsidRPr="005514DB" w:rsidRDefault="00D8646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5514DB"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0%</w:t>
            </w:r>
          </w:p>
        </w:tc>
      </w:tr>
      <w:tr w:rsidR="005514DB" w:rsidRPr="005514DB" w14:paraId="285D33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B1159" w14:textId="77777777" w:rsidR="005514DB" w:rsidRPr="005514DB" w:rsidRDefault="005514D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Connaissance du contexte régional (Liban, Égypte, Palestine)</w:t>
            </w:r>
          </w:p>
        </w:tc>
        <w:tc>
          <w:tcPr>
            <w:tcW w:w="0" w:type="auto"/>
            <w:vAlign w:val="center"/>
            <w:hideMark/>
          </w:tcPr>
          <w:p w14:paraId="04255C93" w14:textId="77777777" w:rsidR="005514DB" w:rsidRPr="005514DB" w:rsidRDefault="005514D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20%</w:t>
            </w:r>
          </w:p>
        </w:tc>
      </w:tr>
      <w:tr w:rsidR="005514DB" w:rsidRPr="005514DB" w14:paraId="31CB58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4E14C" w14:textId="77777777" w:rsidR="005514DB" w:rsidRPr="005514DB" w:rsidRDefault="005514D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Offre financière</w:t>
            </w:r>
          </w:p>
        </w:tc>
        <w:tc>
          <w:tcPr>
            <w:tcW w:w="0" w:type="auto"/>
            <w:vAlign w:val="center"/>
            <w:hideMark/>
          </w:tcPr>
          <w:p w14:paraId="5C93EBD6" w14:textId="0134B6F8" w:rsidR="005514DB" w:rsidRPr="005514DB" w:rsidRDefault="00D8646B" w:rsidP="00145CC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5514DB" w:rsidRPr="005514D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0%</w:t>
            </w:r>
          </w:p>
        </w:tc>
      </w:tr>
    </w:tbl>
    <w:p w14:paraId="4FEB7A92" w14:textId="77777777" w:rsidR="00F73483" w:rsidRDefault="00F73483" w:rsidP="00145CCD">
      <w:pPr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0E62E04F" w14:textId="3519A5A3" w:rsidR="005514DB" w:rsidRPr="005514DB" w:rsidRDefault="005514DB" w:rsidP="00F73483">
      <w:pPr>
        <w:spacing w:after="120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lastRenderedPageBreak/>
        <w:t xml:space="preserve">8. Modalités </w:t>
      </w:r>
      <w:r w:rsidR="00D5583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et date </w:t>
      </w:r>
      <w:r w:rsidRPr="005514DB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de soumission</w:t>
      </w:r>
    </w:p>
    <w:p w14:paraId="0243FEA2" w14:textId="77777777" w:rsidR="005514DB" w:rsidRPr="005514DB" w:rsidRDefault="005514DB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Les candidats devront soumettre :</w:t>
      </w:r>
    </w:p>
    <w:p w14:paraId="058C4EB8" w14:textId="5E74C6BA" w:rsidR="005514DB" w:rsidRPr="005514DB" w:rsidRDefault="005514DB" w:rsidP="00F73483">
      <w:pPr>
        <w:numPr>
          <w:ilvl w:val="0"/>
          <w:numId w:val="7"/>
        </w:numPr>
        <w:spacing w:after="120"/>
        <w:ind w:left="714" w:hanging="357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Une offre technique (compréhension des enjeux, méthodologie, plan de travail, </w:t>
      </w:r>
      <w:r w:rsidR="00591DA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liste détaillée</w:t>
      </w:r>
      <w:r w:rsidR="00B339A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de livrables</w:t>
      </w:r>
      <w:r w:rsidR="00591DA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proposés</w:t>
      </w:r>
      <w:r w:rsidR="00B339A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591DA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calendrier</w:t>
      </w:r>
      <w:r w:rsidR="00B9542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prévisionnel détaillé,</w:t>
      </w:r>
      <w:r w:rsidR="00B339A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CV des experts, références).</w:t>
      </w:r>
    </w:p>
    <w:p w14:paraId="72B48F5B" w14:textId="77777777" w:rsidR="005514DB" w:rsidRPr="005514DB" w:rsidRDefault="005514DB" w:rsidP="00F73483">
      <w:pPr>
        <w:numPr>
          <w:ilvl w:val="0"/>
          <w:numId w:val="7"/>
        </w:num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5514DB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Une offre financière détaillée.</w:t>
      </w:r>
    </w:p>
    <w:p w14:paraId="13EC94D6" w14:textId="5E5C0A8E" w:rsidR="005514DB" w:rsidRPr="005514DB" w:rsidRDefault="4C25276B" w:rsidP="00F73483">
      <w:pPr>
        <w:numPr>
          <w:ilvl w:val="0"/>
          <w:numId w:val="7"/>
        </w:numPr>
        <w:spacing w:after="120"/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</w:pPr>
      <w:r w:rsidRPr="133A08D1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 xml:space="preserve">Une </w:t>
      </w:r>
      <w:proofErr w:type="spellStart"/>
      <w:r w:rsidRPr="133A08D1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>lettre</w:t>
      </w:r>
      <w:proofErr w:type="spellEnd"/>
      <w:r w:rsidRPr="133A08D1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 xml:space="preserve"> de </w:t>
      </w:r>
      <w:r w:rsidR="00F038A3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>couverture</w:t>
      </w:r>
      <w:r w:rsidR="0E4C5937" w:rsidRPr="133A08D1">
        <w:rPr>
          <w:rFonts w:ascii="Calibri" w:eastAsia="Times New Roman" w:hAnsi="Calibri" w:cs="Calibri"/>
          <w:kern w:val="0"/>
          <w:sz w:val="22"/>
          <w:szCs w:val="22"/>
          <w:lang w:val="en-US" w:eastAsia="en-GB"/>
          <w14:ligatures w14:val="none"/>
        </w:rPr>
        <w:t xml:space="preserve">. </w:t>
      </w:r>
    </w:p>
    <w:p w14:paraId="3748CE9A" w14:textId="77777777" w:rsidR="00D55838" w:rsidRDefault="00D55838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1448A9F" w14:textId="05A2E33E" w:rsidR="00D55838" w:rsidRDefault="00D55838" w:rsidP="00D55838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5583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Les prestataires intéressés sont invités à soumettre leur dossier de candidature uniquement via le formulaire en ligne disponible à l’adresse suivante : [lien à insérer], au plus tard le 31 octobre 2025 à 12h00 (heure de Beyrouth).</w:t>
      </w:r>
    </w:p>
    <w:p w14:paraId="0267790B" w14:textId="77777777" w:rsidR="00D55838" w:rsidRDefault="00D55838" w:rsidP="00F73483">
      <w:pPr>
        <w:spacing w:after="120"/>
        <w:rPr>
          <w:rStyle w:val="Strong"/>
          <w:u w:val="single"/>
        </w:rPr>
      </w:pPr>
    </w:p>
    <w:p w14:paraId="0E883AAF" w14:textId="1B40075F" w:rsidR="00D55838" w:rsidRDefault="00D55838" w:rsidP="00F73483">
      <w:pPr>
        <w:spacing w:after="120"/>
        <w:rPr>
          <w:rStyle w:val="Strong"/>
          <w:u w:val="single"/>
        </w:rPr>
      </w:pPr>
      <w:r>
        <w:rPr>
          <w:rStyle w:val="Strong"/>
          <w:u w:val="single"/>
        </w:rPr>
        <w:t>Contact</w:t>
      </w:r>
      <w:r>
        <w:rPr>
          <w:u w:val="single"/>
        </w:rPr>
        <w:t> </w:t>
      </w:r>
    </w:p>
    <w:p w14:paraId="6C8E625F" w14:textId="11AF5623" w:rsidR="00D55838" w:rsidRPr="00CC29F4" w:rsidRDefault="00D55838" w:rsidP="00F73483">
      <w:pPr>
        <w:spacing w:after="120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55838">
        <w:rPr>
          <w:rFonts w:ascii="Calibri" w:hAnsi="Calibri" w:cs="Calibri"/>
        </w:rPr>
        <w:t>Pour toute information complémentaire, écrire à</w:t>
      </w:r>
      <w:r>
        <w:t> </w:t>
      </w:r>
      <w:hyperlink r:id="rId9" w:history="1">
        <w:r w:rsidRPr="00D538DC">
          <w:rPr>
            <w:rStyle w:val="Hyperlink"/>
          </w:rPr>
          <w:t>omneya.shaker@auf.org</w:t>
        </w:r>
      </w:hyperlink>
      <w:r>
        <w:t xml:space="preserve"> </w:t>
      </w:r>
    </w:p>
    <w:sectPr w:rsidR="00D55838" w:rsidRPr="00CC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 HEBREW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">
    <w:altName w:val="ŸàƒSƒVƒbƒN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659"/>
    <w:multiLevelType w:val="multilevel"/>
    <w:tmpl w:val="ADB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55B27"/>
    <w:multiLevelType w:val="multilevel"/>
    <w:tmpl w:val="4CD2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A4155"/>
    <w:multiLevelType w:val="hybridMultilevel"/>
    <w:tmpl w:val="0060DF3A"/>
    <w:lvl w:ilvl="0" w:tplc="507C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E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6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1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4C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4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2B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0B48"/>
    <w:multiLevelType w:val="multilevel"/>
    <w:tmpl w:val="DC1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6583B"/>
    <w:multiLevelType w:val="multilevel"/>
    <w:tmpl w:val="3820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55BF2"/>
    <w:multiLevelType w:val="multilevel"/>
    <w:tmpl w:val="46E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F2D0D"/>
    <w:multiLevelType w:val="multilevel"/>
    <w:tmpl w:val="2DD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B5CFE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032474">
    <w:abstractNumId w:val="2"/>
  </w:num>
  <w:num w:numId="2" w16cid:durableId="2116241020">
    <w:abstractNumId w:val="6"/>
  </w:num>
  <w:num w:numId="3" w16cid:durableId="1777477171">
    <w:abstractNumId w:val="4"/>
  </w:num>
  <w:num w:numId="4" w16cid:durableId="1402945307">
    <w:abstractNumId w:val="1"/>
  </w:num>
  <w:num w:numId="5" w16cid:durableId="718817587">
    <w:abstractNumId w:val="3"/>
  </w:num>
  <w:num w:numId="6" w16cid:durableId="124739499">
    <w:abstractNumId w:val="5"/>
  </w:num>
  <w:num w:numId="7" w16cid:durableId="1427386641">
    <w:abstractNumId w:val="0"/>
  </w:num>
  <w:num w:numId="8" w16cid:durableId="1911965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DB"/>
    <w:rsid w:val="00002837"/>
    <w:rsid w:val="00007D1A"/>
    <w:rsid w:val="00016B27"/>
    <w:rsid w:val="000361C9"/>
    <w:rsid w:val="00071560"/>
    <w:rsid w:val="00092D59"/>
    <w:rsid w:val="000A497D"/>
    <w:rsid w:val="000A7CEB"/>
    <w:rsid w:val="000D66BA"/>
    <w:rsid w:val="0010002B"/>
    <w:rsid w:val="0014209A"/>
    <w:rsid w:val="00145CCD"/>
    <w:rsid w:val="00152A04"/>
    <w:rsid w:val="00153625"/>
    <w:rsid w:val="0017436E"/>
    <w:rsid w:val="00180117"/>
    <w:rsid w:val="00194292"/>
    <w:rsid w:val="001A4B6E"/>
    <w:rsid w:val="001B4E34"/>
    <w:rsid w:val="001C435A"/>
    <w:rsid w:val="001E3C20"/>
    <w:rsid w:val="0020554C"/>
    <w:rsid w:val="00206E8A"/>
    <w:rsid w:val="002403FF"/>
    <w:rsid w:val="00243966"/>
    <w:rsid w:val="002624A5"/>
    <w:rsid w:val="00271F33"/>
    <w:rsid w:val="002777E9"/>
    <w:rsid w:val="002778C4"/>
    <w:rsid w:val="00287986"/>
    <w:rsid w:val="002A0FDC"/>
    <w:rsid w:val="002A147E"/>
    <w:rsid w:val="002A62EC"/>
    <w:rsid w:val="002A682E"/>
    <w:rsid w:val="002C133D"/>
    <w:rsid w:val="002E3A44"/>
    <w:rsid w:val="002E4C46"/>
    <w:rsid w:val="002F70D9"/>
    <w:rsid w:val="00313A4F"/>
    <w:rsid w:val="0032016C"/>
    <w:rsid w:val="003356C5"/>
    <w:rsid w:val="003627C2"/>
    <w:rsid w:val="00390991"/>
    <w:rsid w:val="00391377"/>
    <w:rsid w:val="003B120B"/>
    <w:rsid w:val="003B6983"/>
    <w:rsid w:val="003B698B"/>
    <w:rsid w:val="003C5521"/>
    <w:rsid w:val="003D5087"/>
    <w:rsid w:val="00421AEA"/>
    <w:rsid w:val="00433A0A"/>
    <w:rsid w:val="004354B0"/>
    <w:rsid w:val="0047221F"/>
    <w:rsid w:val="0049157D"/>
    <w:rsid w:val="004C0A62"/>
    <w:rsid w:val="004C6B4C"/>
    <w:rsid w:val="004D1E1A"/>
    <w:rsid w:val="004D3E5C"/>
    <w:rsid w:val="004F74D3"/>
    <w:rsid w:val="005247CB"/>
    <w:rsid w:val="00525C29"/>
    <w:rsid w:val="00543C7B"/>
    <w:rsid w:val="005514DB"/>
    <w:rsid w:val="00577356"/>
    <w:rsid w:val="00585B4C"/>
    <w:rsid w:val="00591DAE"/>
    <w:rsid w:val="005A3B2C"/>
    <w:rsid w:val="005D37E0"/>
    <w:rsid w:val="005E01F8"/>
    <w:rsid w:val="00616DE1"/>
    <w:rsid w:val="006350F6"/>
    <w:rsid w:val="00681AB0"/>
    <w:rsid w:val="006870E1"/>
    <w:rsid w:val="00694925"/>
    <w:rsid w:val="006B33D6"/>
    <w:rsid w:val="006B6629"/>
    <w:rsid w:val="006B67A6"/>
    <w:rsid w:val="006F1419"/>
    <w:rsid w:val="007057F5"/>
    <w:rsid w:val="00712B9D"/>
    <w:rsid w:val="007402C8"/>
    <w:rsid w:val="00757FBB"/>
    <w:rsid w:val="00774C68"/>
    <w:rsid w:val="00777A81"/>
    <w:rsid w:val="00782485"/>
    <w:rsid w:val="007B095D"/>
    <w:rsid w:val="007B6D60"/>
    <w:rsid w:val="007D01E0"/>
    <w:rsid w:val="007D02E4"/>
    <w:rsid w:val="008109C0"/>
    <w:rsid w:val="008276FF"/>
    <w:rsid w:val="00843AC6"/>
    <w:rsid w:val="00851B6F"/>
    <w:rsid w:val="0085247E"/>
    <w:rsid w:val="0085507D"/>
    <w:rsid w:val="008E2EEA"/>
    <w:rsid w:val="00905E49"/>
    <w:rsid w:val="00907DA4"/>
    <w:rsid w:val="0091303A"/>
    <w:rsid w:val="00956600"/>
    <w:rsid w:val="00973CFB"/>
    <w:rsid w:val="009A522E"/>
    <w:rsid w:val="009A70D0"/>
    <w:rsid w:val="009B3744"/>
    <w:rsid w:val="009B6C06"/>
    <w:rsid w:val="009C052D"/>
    <w:rsid w:val="009C51BA"/>
    <w:rsid w:val="009C7182"/>
    <w:rsid w:val="009D5BA2"/>
    <w:rsid w:val="009F0B73"/>
    <w:rsid w:val="009F5BCD"/>
    <w:rsid w:val="009F75C5"/>
    <w:rsid w:val="00A064EA"/>
    <w:rsid w:val="00A4461D"/>
    <w:rsid w:val="00A45F99"/>
    <w:rsid w:val="00A540DE"/>
    <w:rsid w:val="00AA2124"/>
    <w:rsid w:val="00AB0D54"/>
    <w:rsid w:val="00AD32A9"/>
    <w:rsid w:val="00AD37E8"/>
    <w:rsid w:val="00AF2972"/>
    <w:rsid w:val="00B0636F"/>
    <w:rsid w:val="00B23E90"/>
    <w:rsid w:val="00B27133"/>
    <w:rsid w:val="00B339A8"/>
    <w:rsid w:val="00B72837"/>
    <w:rsid w:val="00B815B3"/>
    <w:rsid w:val="00B95426"/>
    <w:rsid w:val="00BB6ABA"/>
    <w:rsid w:val="00BE5838"/>
    <w:rsid w:val="00C11285"/>
    <w:rsid w:val="00C158C3"/>
    <w:rsid w:val="00C25AF2"/>
    <w:rsid w:val="00C30F2B"/>
    <w:rsid w:val="00C32B18"/>
    <w:rsid w:val="00C4058C"/>
    <w:rsid w:val="00C52C35"/>
    <w:rsid w:val="00C643C9"/>
    <w:rsid w:val="00C70A81"/>
    <w:rsid w:val="00C73217"/>
    <w:rsid w:val="00C91B5F"/>
    <w:rsid w:val="00C91C0C"/>
    <w:rsid w:val="00C96763"/>
    <w:rsid w:val="00C96D67"/>
    <w:rsid w:val="00CA3BCE"/>
    <w:rsid w:val="00CC0CBF"/>
    <w:rsid w:val="00CC29F4"/>
    <w:rsid w:val="00CC5C61"/>
    <w:rsid w:val="00CD1F12"/>
    <w:rsid w:val="00CE052B"/>
    <w:rsid w:val="00CF1710"/>
    <w:rsid w:val="00CF253A"/>
    <w:rsid w:val="00CF65CE"/>
    <w:rsid w:val="00D270A3"/>
    <w:rsid w:val="00D359A4"/>
    <w:rsid w:val="00D37DB6"/>
    <w:rsid w:val="00D55838"/>
    <w:rsid w:val="00D650A1"/>
    <w:rsid w:val="00D712F9"/>
    <w:rsid w:val="00D80840"/>
    <w:rsid w:val="00D8646B"/>
    <w:rsid w:val="00DB4641"/>
    <w:rsid w:val="00DC2624"/>
    <w:rsid w:val="00DD0B0C"/>
    <w:rsid w:val="00DD6911"/>
    <w:rsid w:val="00DE2BBC"/>
    <w:rsid w:val="00E045F8"/>
    <w:rsid w:val="00E10E26"/>
    <w:rsid w:val="00E1271C"/>
    <w:rsid w:val="00E33BA4"/>
    <w:rsid w:val="00E34E04"/>
    <w:rsid w:val="00E363BB"/>
    <w:rsid w:val="00E41B4B"/>
    <w:rsid w:val="00E62892"/>
    <w:rsid w:val="00E706D7"/>
    <w:rsid w:val="00E74FAF"/>
    <w:rsid w:val="00EA15EB"/>
    <w:rsid w:val="00EB41B0"/>
    <w:rsid w:val="00ED28FE"/>
    <w:rsid w:val="00F038A3"/>
    <w:rsid w:val="00F050D9"/>
    <w:rsid w:val="00F14F95"/>
    <w:rsid w:val="00F30366"/>
    <w:rsid w:val="00F50176"/>
    <w:rsid w:val="00F61D63"/>
    <w:rsid w:val="00F73483"/>
    <w:rsid w:val="00F8362E"/>
    <w:rsid w:val="00F90138"/>
    <w:rsid w:val="00FB0D05"/>
    <w:rsid w:val="00FB5CCC"/>
    <w:rsid w:val="00FC1B20"/>
    <w:rsid w:val="00FC7A56"/>
    <w:rsid w:val="00FD280C"/>
    <w:rsid w:val="0176FFF8"/>
    <w:rsid w:val="036CF83B"/>
    <w:rsid w:val="040A8CA1"/>
    <w:rsid w:val="04890C26"/>
    <w:rsid w:val="06359ED9"/>
    <w:rsid w:val="0817E828"/>
    <w:rsid w:val="0C149663"/>
    <w:rsid w:val="0D150DE7"/>
    <w:rsid w:val="0E4C5937"/>
    <w:rsid w:val="0EF8FA1A"/>
    <w:rsid w:val="113638FC"/>
    <w:rsid w:val="1198C470"/>
    <w:rsid w:val="1306C06A"/>
    <w:rsid w:val="133A08D1"/>
    <w:rsid w:val="13E54B20"/>
    <w:rsid w:val="1411B717"/>
    <w:rsid w:val="156C0942"/>
    <w:rsid w:val="18D3FB4F"/>
    <w:rsid w:val="18EE0C95"/>
    <w:rsid w:val="1A2ADFC8"/>
    <w:rsid w:val="1B22EA68"/>
    <w:rsid w:val="1B5CBEAE"/>
    <w:rsid w:val="1E38DAC1"/>
    <w:rsid w:val="1E9CE933"/>
    <w:rsid w:val="228F8C75"/>
    <w:rsid w:val="228FD4A4"/>
    <w:rsid w:val="23D89CFF"/>
    <w:rsid w:val="24278E25"/>
    <w:rsid w:val="260C4423"/>
    <w:rsid w:val="26739D98"/>
    <w:rsid w:val="277148E5"/>
    <w:rsid w:val="280B6815"/>
    <w:rsid w:val="28A8F86A"/>
    <w:rsid w:val="2BA03DF5"/>
    <w:rsid w:val="2BFD9478"/>
    <w:rsid w:val="2C88EDFF"/>
    <w:rsid w:val="2D492F4A"/>
    <w:rsid w:val="2DD20E72"/>
    <w:rsid w:val="323D0BC5"/>
    <w:rsid w:val="32BA549C"/>
    <w:rsid w:val="33759332"/>
    <w:rsid w:val="3444A0D3"/>
    <w:rsid w:val="3561CFD2"/>
    <w:rsid w:val="359728F7"/>
    <w:rsid w:val="3951889D"/>
    <w:rsid w:val="39B32FF4"/>
    <w:rsid w:val="3C9646DF"/>
    <w:rsid w:val="3CFACE86"/>
    <w:rsid w:val="3D39B23C"/>
    <w:rsid w:val="3D85240E"/>
    <w:rsid w:val="3E076328"/>
    <w:rsid w:val="3E63B66A"/>
    <w:rsid w:val="3EED195C"/>
    <w:rsid w:val="3EFBB13F"/>
    <w:rsid w:val="3F9D1087"/>
    <w:rsid w:val="4101DDFC"/>
    <w:rsid w:val="422BAADB"/>
    <w:rsid w:val="42C842DA"/>
    <w:rsid w:val="4340A771"/>
    <w:rsid w:val="44DD2CC0"/>
    <w:rsid w:val="46DB231B"/>
    <w:rsid w:val="49A6F18B"/>
    <w:rsid w:val="4C25276B"/>
    <w:rsid w:val="4D37CCD8"/>
    <w:rsid w:val="4D9F07F7"/>
    <w:rsid w:val="4E545FC9"/>
    <w:rsid w:val="4F012275"/>
    <w:rsid w:val="519BBFD8"/>
    <w:rsid w:val="56109FDC"/>
    <w:rsid w:val="57770020"/>
    <w:rsid w:val="58B36369"/>
    <w:rsid w:val="590A5B05"/>
    <w:rsid w:val="59B1A7EF"/>
    <w:rsid w:val="5A44D283"/>
    <w:rsid w:val="5E2A33C2"/>
    <w:rsid w:val="61E13EAA"/>
    <w:rsid w:val="64DAE68E"/>
    <w:rsid w:val="6ABF9579"/>
    <w:rsid w:val="6B4065A5"/>
    <w:rsid w:val="6C3A7CFF"/>
    <w:rsid w:val="6C6761B6"/>
    <w:rsid w:val="6D077565"/>
    <w:rsid w:val="6E0DD78E"/>
    <w:rsid w:val="6F64DBDC"/>
    <w:rsid w:val="6FAE05C8"/>
    <w:rsid w:val="6FD4AE3B"/>
    <w:rsid w:val="71AA9150"/>
    <w:rsid w:val="7258006D"/>
    <w:rsid w:val="7370251B"/>
    <w:rsid w:val="74156505"/>
    <w:rsid w:val="74A8347C"/>
    <w:rsid w:val="760FF56C"/>
    <w:rsid w:val="76EA847A"/>
    <w:rsid w:val="7B1D0548"/>
    <w:rsid w:val="7C6BB6D8"/>
    <w:rsid w:val="7C77477F"/>
    <w:rsid w:val="7D156D65"/>
    <w:rsid w:val="7F338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A3F36"/>
  <w15:chartTrackingRefBased/>
  <w15:docId w15:val="{DA76A3B2-F6DC-4846-984E-D15010F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4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5514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5514D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5514D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4DB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4D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4DB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4D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4DB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551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4D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4D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551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4DB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551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4DB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5514D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1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4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E4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C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1E0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6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89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892"/>
    <w:rPr>
      <w:b/>
      <w:bCs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D6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mneya.shaker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_Flow_SignoffStatus xmlns="12bea935-8f96-4e2a-91e0-960c791cc4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FC67E-59AC-44A5-9C09-E028A34A1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D8E03-B56F-4424-B030-BA0E193ED0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1CC9F5BD-68C8-479A-919E-0EA7543CE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Omneya SHAKER</dc:creator>
  <cp:keywords/>
  <dc:description/>
  <cp:lastModifiedBy>Omnéya SHAKER BELAL</cp:lastModifiedBy>
  <cp:revision>3</cp:revision>
  <cp:lastPrinted>2025-10-01T07:06:00Z</cp:lastPrinted>
  <dcterms:created xsi:type="dcterms:W3CDTF">2025-10-01T15:39:00Z</dcterms:created>
  <dcterms:modified xsi:type="dcterms:W3CDTF">2025-10-10T14:10:00Z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